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56" w:rsidRDefault="005F1156" w:rsidP="005F1156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5F1156" w:rsidRDefault="005F1156" w:rsidP="005F1156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tbl>
      <w:tblPr>
        <w:tblW w:w="88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6"/>
        <w:gridCol w:w="2434"/>
        <w:gridCol w:w="540"/>
        <w:gridCol w:w="720"/>
        <w:gridCol w:w="720"/>
        <w:gridCol w:w="720"/>
        <w:gridCol w:w="2700"/>
      </w:tblGrid>
      <w:tr w:rsidR="005F1156" w:rsidRPr="000B0AF5" w:rsidTr="00BE20F6">
        <w:trPr>
          <w:trHeight w:val="472"/>
        </w:trPr>
        <w:tc>
          <w:tcPr>
            <w:tcW w:w="986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434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规格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）材质</w:t>
            </w:r>
          </w:p>
        </w:tc>
        <w:tc>
          <w:tcPr>
            <w:tcW w:w="540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20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20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2700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产品图片</w:t>
            </w:r>
          </w:p>
        </w:tc>
      </w:tr>
      <w:tr w:rsidR="005F1156" w:rsidRPr="000B0AF5" w:rsidTr="00BE20F6">
        <w:trPr>
          <w:trHeight w:val="421"/>
        </w:trPr>
        <w:tc>
          <w:tcPr>
            <w:tcW w:w="986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双层榉木上下床</w:t>
            </w:r>
          </w:p>
        </w:tc>
        <w:tc>
          <w:tcPr>
            <w:tcW w:w="2434" w:type="dxa"/>
          </w:tcPr>
          <w:p w:rsidR="005F1156" w:rsidRPr="00377A77" w:rsidRDefault="005F1156" w:rsidP="00BE20F6">
            <w:pPr>
              <w:spacing w:line="240" w:lineRule="exact"/>
              <w:rPr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3429" distL="114300" distR="115062" simplePos="0" relativeHeight="251660288" behindDoc="0" locked="0" layoutInCell="1" allowOverlap="1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1257300</wp:posOffset>
                  </wp:positionV>
                  <wp:extent cx="24130" cy="6350"/>
                  <wp:effectExtent l="0" t="0" r="0" b="0"/>
                  <wp:wrapNone/>
                  <wp:docPr id="2" name="显示图片" hidden="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显示图片" hidden="1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7A77">
              <w:rPr>
                <w:rFonts w:hint="eastAsia"/>
                <w:sz w:val="15"/>
                <w:szCs w:val="15"/>
              </w:rPr>
              <w:t>尺寸：</w:t>
            </w:r>
            <w:r w:rsidRPr="00377A77">
              <w:rPr>
                <w:sz w:val="15"/>
                <w:szCs w:val="15"/>
              </w:rPr>
              <w:t>2020*980*1730mmH</w:t>
            </w:r>
          </w:p>
          <w:p w:rsidR="005F1156" w:rsidRPr="00377A77" w:rsidRDefault="005F1156" w:rsidP="00BE20F6">
            <w:pPr>
              <w:spacing w:line="240" w:lineRule="exact"/>
              <w:rPr>
                <w:sz w:val="15"/>
                <w:szCs w:val="15"/>
              </w:rPr>
            </w:pPr>
            <w:r w:rsidRPr="00377A77">
              <w:rPr>
                <w:rFonts w:hint="eastAsia"/>
                <w:sz w:val="15"/>
                <w:szCs w:val="15"/>
              </w:rPr>
              <w:t>基材采用天然优质实木榉木，无虫蚀、无结痕，木材经四面刨光处理，结合部位无松动，框架主体榫结构；</w:t>
            </w:r>
          </w:p>
          <w:p w:rsidR="005F1156" w:rsidRPr="00377A77" w:rsidRDefault="005F1156" w:rsidP="00BE20F6">
            <w:pPr>
              <w:spacing w:line="240" w:lineRule="exact"/>
              <w:rPr>
                <w:sz w:val="15"/>
                <w:szCs w:val="15"/>
              </w:rPr>
            </w:pPr>
            <w:r w:rsidRPr="00377A77">
              <w:rPr>
                <w:rFonts w:hint="eastAsia"/>
                <w:sz w:val="15"/>
                <w:szCs w:val="15"/>
              </w:rPr>
              <w:t>特殊要求：外观纹理自然美观不得有任何结痕。特殊房间（如门柱电箱阻挡）能现场改装（改小）刨切后的木质色泽需保持内外一致。</w:t>
            </w:r>
          </w:p>
          <w:p w:rsidR="005F1156" w:rsidRPr="00377A77" w:rsidRDefault="005F1156" w:rsidP="00BE20F6">
            <w:pPr>
              <w:spacing w:line="240" w:lineRule="exact"/>
              <w:rPr>
                <w:sz w:val="15"/>
                <w:szCs w:val="15"/>
              </w:rPr>
            </w:pPr>
            <w:r w:rsidRPr="00377A77">
              <w:rPr>
                <w:rFonts w:hint="eastAsia"/>
                <w:sz w:val="15"/>
                <w:szCs w:val="15"/>
              </w:rPr>
              <w:t>床柱尺寸不小于</w:t>
            </w:r>
            <w:r w:rsidRPr="00377A77">
              <w:rPr>
                <w:sz w:val="15"/>
                <w:szCs w:val="15"/>
              </w:rPr>
              <w:t>65*50mm</w:t>
            </w:r>
            <w:r w:rsidRPr="00377A77">
              <w:rPr>
                <w:rFonts w:hint="eastAsia"/>
                <w:sz w:val="15"/>
                <w:szCs w:val="15"/>
              </w:rPr>
              <w:t>，床柱需要带直径</w:t>
            </w:r>
            <w:r w:rsidRPr="00377A77">
              <w:rPr>
                <w:sz w:val="15"/>
                <w:szCs w:val="15"/>
              </w:rPr>
              <w:t>20mm</w:t>
            </w:r>
            <w:r w:rsidRPr="00377A77">
              <w:rPr>
                <w:rFonts w:hint="eastAsia"/>
                <w:sz w:val="15"/>
                <w:szCs w:val="15"/>
              </w:rPr>
              <w:t>蚊账孔，</w:t>
            </w:r>
            <w:r w:rsidRPr="00377A77">
              <w:rPr>
                <w:sz w:val="15"/>
                <w:szCs w:val="15"/>
              </w:rPr>
              <w:t xml:space="preserve"> </w:t>
            </w:r>
            <w:r w:rsidRPr="00377A77">
              <w:rPr>
                <w:rFonts w:hint="eastAsia"/>
                <w:sz w:val="15"/>
                <w:szCs w:val="15"/>
              </w:rPr>
              <w:t>床边尺寸不小于</w:t>
            </w:r>
            <w:r w:rsidRPr="00377A77">
              <w:rPr>
                <w:sz w:val="15"/>
                <w:szCs w:val="15"/>
              </w:rPr>
              <w:t>95*24mm</w:t>
            </w:r>
            <w:r w:rsidRPr="00377A77">
              <w:rPr>
                <w:rFonts w:hint="eastAsia"/>
                <w:sz w:val="15"/>
                <w:szCs w:val="15"/>
              </w:rPr>
              <w:t>，围栏高度不低于</w:t>
            </w:r>
            <w:r w:rsidRPr="00377A77">
              <w:rPr>
                <w:sz w:val="15"/>
                <w:szCs w:val="15"/>
              </w:rPr>
              <w:t>230mm</w:t>
            </w:r>
            <w:r w:rsidRPr="00377A77">
              <w:rPr>
                <w:rFonts w:hint="eastAsia"/>
                <w:sz w:val="15"/>
                <w:szCs w:val="15"/>
              </w:rPr>
              <w:t>，床梁尺寸不小于</w:t>
            </w:r>
            <w:r w:rsidRPr="00377A77">
              <w:rPr>
                <w:sz w:val="15"/>
                <w:szCs w:val="15"/>
              </w:rPr>
              <w:t>25*45mm</w:t>
            </w:r>
            <w:r w:rsidRPr="00377A77">
              <w:rPr>
                <w:rFonts w:hint="eastAsia"/>
                <w:sz w:val="15"/>
                <w:szCs w:val="15"/>
              </w:rPr>
              <w:t>，床板使用</w:t>
            </w:r>
            <w:r w:rsidRPr="00377A77">
              <w:rPr>
                <w:sz w:val="15"/>
                <w:szCs w:val="15"/>
              </w:rPr>
              <w:t>15mm</w:t>
            </w:r>
            <w:r w:rsidRPr="00377A77">
              <w:rPr>
                <w:rFonts w:hint="eastAsia"/>
                <w:sz w:val="15"/>
                <w:szCs w:val="15"/>
              </w:rPr>
              <w:t>或以上双面实木。</w:t>
            </w:r>
          </w:p>
          <w:p w:rsidR="005F1156" w:rsidRPr="00377A77" w:rsidRDefault="005F1156" w:rsidP="00BE20F6">
            <w:pPr>
              <w:spacing w:line="240" w:lineRule="exact"/>
              <w:rPr>
                <w:sz w:val="15"/>
                <w:szCs w:val="15"/>
              </w:rPr>
            </w:pPr>
            <w:r w:rsidRPr="00377A77">
              <w:rPr>
                <w:rFonts w:hint="eastAsia"/>
                <w:sz w:val="15"/>
                <w:szCs w:val="15"/>
              </w:rPr>
              <w:t>木材含水率≤</w:t>
            </w:r>
            <w:r w:rsidRPr="00377A77">
              <w:rPr>
                <w:sz w:val="15"/>
                <w:szCs w:val="15"/>
              </w:rPr>
              <w:t>10%</w:t>
            </w:r>
            <w:r w:rsidRPr="00377A77">
              <w:rPr>
                <w:rFonts w:hint="eastAsia"/>
                <w:sz w:val="15"/>
                <w:szCs w:val="15"/>
              </w:rPr>
              <w:t>，甲醛释放量≤</w:t>
            </w:r>
            <w:r w:rsidRPr="00377A77">
              <w:rPr>
                <w:sz w:val="15"/>
                <w:szCs w:val="15"/>
              </w:rPr>
              <w:t>0.1mg/L</w:t>
            </w:r>
            <w:r w:rsidRPr="00377A77">
              <w:rPr>
                <w:rFonts w:hint="eastAsia"/>
                <w:sz w:val="15"/>
                <w:szCs w:val="15"/>
              </w:rPr>
              <w:t>；检验依据</w:t>
            </w:r>
            <w:r w:rsidRPr="00377A77">
              <w:rPr>
                <w:sz w:val="15"/>
                <w:szCs w:val="15"/>
              </w:rPr>
              <w:t>GB</w:t>
            </w:r>
            <w:r w:rsidRPr="00377A77">
              <w:rPr>
                <w:rFonts w:hint="eastAsia"/>
                <w:sz w:val="15"/>
                <w:szCs w:val="15"/>
              </w:rPr>
              <w:t>∕</w:t>
            </w:r>
            <w:r w:rsidRPr="00377A77">
              <w:rPr>
                <w:sz w:val="15"/>
                <w:szCs w:val="15"/>
              </w:rPr>
              <w:t>T 3324-2017</w:t>
            </w:r>
            <w:r w:rsidRPr="00377A77">
              <w:rPr>
                <w:rFonts w:hint="eastAsia"/>
                <w:sz w:val="15"/>
                <w:szCs w:val="15"/>
              </w:rPr>
              <w:t>《木家具通用技术条件》及</w:t>
            </w:r>
            <w:r w:rsidRPr="00377A77">
              <w:rPr>
                <w:sz w:val="15"/>
                <w:szCs w:val="15"/>
              </w:rPr>
              <w:t>GB18584-2001</w:t>
            </w:r>
            <w:r w:rsidRPr="00377A77">
              <w:rPr>
                <w:rFonts w:hint="eastAsia"/>
                <w:sz w:val="15"/>
                <w:szCs w:val="15"/>
              </w:rPr>
              <w:t>《室内装饰装修材料</w:t>
            </w:r>
            <w:r w:rsidRPr="00377A77">
              <w:rPr>
                <w:sz w:val="15"/>
                <w:szCs w:val="15"/>
              </w:rPr>
              <w:t xml:space="preserve"> </w:t>
            </w:r>
            <w:r w:rsidRPr="00377A77">
              <w:rPr>
                <w:rFonts w:hint="eastAsia"/>
                <w:sz w:val="15"/>
                <w:szCs w:val="15"/>
              </w:rPr>
              <w:t>木家具中有害物质限量》标准且其结果为合格。</w:t>
            </w:r>
          </w:p>
          <w:p w:rsidR="005F1156" w:rsidRPr="00377A77" w:rsidRDefault="005F1156" w:rsidP="00BE20F6">
            <w:pPr>
              <w:spacing w:line="240" w:lineRule="exact"/>
              <w:rPr>
                <w:sz w:val="15"/>
                <w:szCs w:val="15"/>
              </w:rPr>
            </w:pPr>
          </w:p>
          <w:p w:rsidR="005F1156" w:rsidRPr="00377A77" w:rsidRDefault="005F1156" w:rsidP="00BE20F6">
            <w:pPr>
              <w:spacing w:line="240" w:lineRule="exact"/>
              <w:rPr>
                <w:sz w:val="15"/>
                <w:szCs w:val="15"/>
              </w:rPr>
            </w:pPr>
            <w:r w:rsidRPr="00377A77">
              <w:rPr>
                <w:rFonts w:hint="eastAsia"/>
                <w:sz w:val="15"/>
                <w:szCs w:val="15"/>
              </w:rPr>
              <w:t>饰面采用水性面漆与底漆：附着力强、流平性高，涂层亮度均匀不褪色，色泽柔和，手感良好，达到国际</w:t>
            </w:r>
            <w:r w:rsidRPr="00377A77">
              <w:rPr>
                <w:sz w:val="15"/>
                <w:szCs w:val="15"/>
              </w:rPr>
              <w:t>E1</w:t>
            </w:r>
            <w:r w:rsidRPr="00377A77">
              <w:rPr>
                <w:rFonts w:hint="eastAsia"/>
                <w:sz w:val="15"/>
                <w:szCs w:val="15"/>
              </w:rPr>
              <w:t>级环保标准；其中挥发性有机化合物（</w:t>
            </w:r>
            <w:r w:rsidRPr="00377A77">
              <w:rPr>
                <w:sz w:val="15"/>
                <w:szCs w:val="15"/>
              </w:rPr>
              <w:t>VOC</w:t>
            </w:r>
            <w:r w:rsidRPr="00377A77">
              <w:rPr>
                <w:rFonts w:hint="eastAsia"/>
                <w:sz w:val="15"/>
                <w:szCs w:val="15"/>
              </w:rPr>
              <w:t>）≤</w:t>
            </w:r>
            <w:r w:rsidRPr="00377A77">
              <w:rPr>
                <w:sz w:val="15"/>
                <w:szCs w:val="15"/>
              </w:rPr>
              <w:t>60g/L</w:t>
            </w:r>
            <w:r w:rsidRPr="00377A77">
              <w:rPr>
                <w:rFonts w:hint="eastAsia"/>
                <w:sz w:val="15"/>
                <w:szCs w:val="15"/>
              </w:rPr>
              <w:t>，游离甲醛≤</w:t>
            </w:r>
            <w:r w:rsidRPr="00377A77">
              <w:rPr>
                <w:sz w:val="15"/>
                <w:szCs w:val="15"/>
              </w:rPr>
              <w:t>5mg/kg</w:t>
            </w:r>
            <w:r w:rsidRPr="00377A77">
              <w:rPr>
                <w:rFonts w:hint="eastAsia"/>
                <w:sz w:val="15"/>
                <w:szCs w:val="15"/>
              </w:rPr>
              <w:t>，乙二醇醚及其酯类的总量≤</w:t>
            </w:r>
            <w:r w:rsidRPr="00377A77">
              <w:rPr>
                <w:sz w:val="15"/>
                <w:szCs w:val="15"/>
              </w:rPr>
              <w:t>50mg/kg</w:t>
            </w:r>
            <w:r w:rsidRPr="00377A77">
              <w:rPr>
                <w:rFonts w:hint="eastAsia"/>
                <w:sz w:val="15"/>
                <w:szCs w:val="15"/>
              </w:rPr>
              <w:t>，苯、甲苯、二甲苯、乙苯的总量≤</w:t>
            </w:r>
            <w:r w:rsidRPr="00377A77">
              <w:rPr>
                <w:sz w:val="15"/>
                <w:szCs w:val="15"/>
              </w:rPr>
              <w:t>50mg/kg</w:t>
            </w:r>
            <w:r w:rsidRPr="00377A77">
              <w:rPr>
                <w:rFonts w:hint="eastAsia"/>
                <w:sz w:val="15"/>
                <w:szCs w:val="15"/>
              </w:rPr>
              <w:t>。</w:t>
            </w:r>
          </w:p>
          <w:p w:rsidR="005F1156" w:rsidRPr="00377A77" w:rsidRDefault="005F1156" w:rsidP="00BE20F6">
            <w:pPr>
              <w:spacing w:line="240" w:lineRule="exact"/>
              <w:rPr>
                <w:sz w:val="15"/>
                <w:szCs w:val="15"/>
              </w:rPr>
            </w:pPr>
            <w:r w:rsidRPr="00377A77">
              <w:rPr>
                <w:rFonts w:hint="eastAsia"/>
                <w:sz w:val="15"/>
                <w:szCs w:val="15"/>
              </w:rPr>
              <w:t>胶水：采用环保白乳胶，粘接强度高，粘接层韧性好和耐久性好，不老化，符合国际</w:t>
            </w:r>
            <w:r w:rsidRPr="00377A77">
              <w:rPr>
                <w:sz w:val="15"/>
                <w:szCs w:val="15"/>
              </w:rPr>
              <w:t>E1</w:t>
            </w:r>
            <w:r w:rsidRPr="00377A77">
              <w:rPr>
                <w:rFonts w:hint="eastAsia"/>
                <w:sz w:val="15"/>
                <w:szCs w:val="15"/>
              </w:rPr>
              <w:t>级环保标准；其中苯≤</w:t>
            </w:r>
            <w:r w:rsidRPr="00377A77">
              <w:rPr>
                <w:sz w:val="15"/>
                <w:szCs w:val="15"/>
              </w:rPr>
              <w:t>0.02g/kg</w:t>
            </w:r>
            <w:r w:rsidRPr="00377A77">
              <w:rPr>
                <w:rFonts w:hint="eastAsia"/>
                <w:sz w:val="15"/>
                <w:szCs w:val="15"/>
              </w:rPr>
              <w:t>，甲苯</w:t>
            </w:r>
            <w:r w:rsidRPr="00377A77">
              <w:rPr>
                <w:sz w:val="15"/>
                <w:szCs w:val="15"/>
              </w:rPr>
              <w:t>+</w:t>
            </w:r>
            <w:r w:rsidRPr="00377A77">
              <w:rPr>
                <w:rFonts w:hint="eastAsia"/>
                <w:sz w:val="15"/>
                <w:szCs w:val="15"/>
              </w:rPr>
              <w:t>二甲苯≤</w:t>
            </w:r>
            <w:r w:rsidRPr="00377A77">
              <w:rPr>
                <w:sz w:val="15"/>
                <w:szCs w:val="15"/>
              </w:rPr>
              <w:t>0.05g/kg</w:t>
            </w:r>
            <w:r w:rsidRPr="00377A77">
              <w:rPr>
                <w:rFonts w:hint="eastAsia"/>
                <w:sz w:val="15"/>
                <w:szCs w:val="15"/>
              </w:rPr>
              <w:t>，游离甲醛≤</w:t>
            </w:r>
            <w:r w:rsidRPr="00377A77">
              <w:rPr>
                <w:sz w:val="15"/>
                <w:szCs w:val="15"/>
              </w:rPr>
              <w:t>0.05g/kg</w:t>
            </w:r>
            <w:r w:rsidRPr="00377A77">
              <w:rPr>
                <w:rFonts w:hint="eastAsia"/>
                <w:sz w:val="15"/>
                <w:szCs w:val="15"/>
              </w:rPr>
              <w:t>，总挥发性有机物≤</w:t>
            </w:r>
            <w:r w:rsidRPr="00377A77">
              <w:rPr>
                <w:sz w:val="15"/>
                <w:szCs w:val="15"/>
              </w:rPr>
              <w:t>40g/L</w:t>
            </w:r>
            <w:r w:rsidRPr="00377A77">
              <w:rPr>
                <w:rFonts w:hint="eastAsia"/>
                <w:sz w:val="15"/>
                <w:szCs w:val="15"/>
              </w:rPr>
              <w:t>。</w:t>
            </w:r>
          </w:p>
          <w:p w:rsidR="005F1156" w:rsidRPr="00377A77" w:rsidRDefault="005F1156" w:rsidP="00BE20F6">
            <w:pPr>
              <w:spacing w:line="240" w:lineRule="exact"/>
              <w:rPr>
                <w:sz w:val="15"/>
                <w:szCs w:val="15"/>
              </w:rPr>
            </w:pPr>
            <w:r w:rsidRPr="00377A77">
              <w:rPr>
                <w:rFonts w:hint="eastAsia"/>
                <w:sz w:val="15"/>
                <w:szCs w:val="15"/>
              </w:rPr>
              <w:t>五金件：采用优质五金配件，表面无锈蚀、无毛刺，表面光洁平滑，色泽应一致，安全性高，风格时尚，轻松优雅，易于清洗，经久耐用。</w:t>
            </w:r>
          </w:p>
          <w:p w:rsidR="005F1156" w:rsidRPr="00653F06" w:rsidRDefault="005F1156" w:rsidP="00BE20F6">
            <w:pPr>
              <w:widowControl/>
              <w:rPr>
                <w:rFonts w:asci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20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20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F1156" w:rsidRPr="000B0AF5" w:rsidRDefault="005F1156" w:rsidP="00BE20F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185420</wp:posOffset>
                  </wp:positionV>
                  <wp:extent cx="1714500" cy="1337310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7310"/>
                          </a:xfrm>
                          <a:prstGeom prst="rect">
                            <a:avLst/>
                          </a:prstGeom>
                          <a:noFill/>
                          <a:ln w="1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0" w:type="dxa"/>
            <w:vAlign w:val="center"/>
          </w:tcPr>
          <w:p w:rsidR="005F1156" w:rsidRPr="000B0AF5" w:rsidRDefault="005F1156" w:rsidP="00BE20F6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5F1156" w:rsidRPr="002E1BA7" w:rsidRDefault="005F1156" w:rsidP="005F1156">
      <w:pPr>
        <w:widowControl/>
        <w:jc w:val="left"/>
        <w:rPr>
          <w:rFonts w:ascii="宋体" w:cs="宋体"/>
          <w:bCs/>
          <w:color w:val="000000"/>
          <w:kern w:val="0"/>
          <w:szCs w:val="21"/>
        </w:rPr>
      </w:pPr>
      <w:r w:rsidRPr="002E1BA7">
        <w:rPr>
          <w:rFonts w:ascii="宋体" w:cs="宋体" w:hint="eastAsia"/>
          <w:bCs/>
          <w:color w:val="FF0000"/>
          <w:kern w:val="0"/>
          <w:szCs w:val="21"/>
        </w:rPr>
        <w:t>备注：</w:t>
      </w:r>
      <w:r w:rsidRPr="002E1BA7">
        <w:rPr>
          <w:rFonts w:ascii="宋体" w:cs="宋体" w:hint="eastAsia"/>
          <w:color w:val="FF0000"/>
          <w:kern w:val="0"/>
          <w:szCs w:val="21"/>
        </w:rPr>
        <w:t>供应商报价产品不限于上述要求，但尺寸及材质要优于或同等，不能低于上述标准。</w:t>
      </w:r>
    </w:p>
    <w:p w:rsidR="00061B46" w:rsidRPr="005F1156" w:rsidRDefault="00061B46"/>
    <w:sectPr w:rsidR="00061B46" w:rsidRPr="005F1156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B46" w:rsidRDefault="00061B46" w:rsidP="005F1156">
      <w:r>
        <w:separator/>
      </w:r>
    </w:p>
  </w:endnote>
  <w:endnote w:type="continuationSeparator" w:id="1">
    <w:p w:rsidR="00061B46" w:rsidRDefault="00061B46" w:rsidP="005F1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B46" w:rsidRDefault="00061B46" w:rsidP="005F1156">
      <w:r>
        <w:separator/>
      </w:r>
    </w:p>
  </w:footnote>
  <w:footnote w:type="continuationSeparator" w:id="1">
    <w:p w:rsidR="00061B46" w:rsidRDefault="00061B46" w:rsidP="005F1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156"/>
    <w:rsid w:val="00061B46"/>
    <w:rsid w:val="005F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1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1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1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Microsoft Corp.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2022-02-25T01:12:00Z</dcterms:created>
  <dcterms:modified xsi:type="dcterms:W3CDTF">2022-02-25T01:12:00Z</dcterms:modified>
</cp:coreProperties>
</file>