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kern w:val="0"/>
          <w:sz w:val="30"/>
          <w:szCs w:val="30"/>
          <w:lang w:eastAsia="zh-CN"/>
        </w:rPr>
      </w:pPr>
      <w:r>
        <w:rPr>
          <w:rFonts w:hint="eastAsia"/>
          <w:kern w:val="0"/>
          <w:sz w:val="30"/>
          <w:szCs w:val="30"/>
        </w:rPr>
        <w:t>附件3</w:t>
      </w:r>
      <w:r>
        <w:rPr>
          <w:rFonts w:hint="eastAsia"/>
          <w:kern w:val="0"/>
          <w:sz w:val="30"/>
          <w:szCs w:val="30"/>
          <w:lang w:eastAsia="zh-CN"/>
        </w:rPr>
        <w:t>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11"/>
        <w:gridCol w:w="3039"/>
        <w:gridCol w:w="883"/>
        <w:gridCol w:w="578"/>
        <w:gridCol w:w="474"/>
        <w:gridCol w:w="929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303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人行道闸</w:t>
            </w:r>
          </w:p>
        </w:tc>
        <w:tc>
          <w:tcPr>
            <w:tcW w:w="3039" w:type="dxa"/>
            <w:vAlign w:val="center"/>
          </w:tcPr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1.人行道闸需无缝接入医院住院部现有访客系统，使用原系统人脸识别数据。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2. 人脸识别率：&gt;99%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3. 人脸识别时间：0.2s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4. 人脸库容：10000人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5. 本机记录容量（条）：3万条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6. 幕尺寸及分辨率：7英寸, 600*1024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7. 记录管理：支持记录本地保存和实时上传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8. 接口：100M网络接口×1、韦根输入×1、韦根输出×1、RS-485×1、RS-232×1、I/O输入×2、I/O输出×2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 xml:space="preserve">9. 设备识别距离为0.3米-5米,并支持识别距离调节 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 xml:space="preserve">10. 在环境光为0.001lux下可正常检测并识别人脸 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11. 设备通道宽度支持600mm-1100mm灵活定制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12. 设备外观的外表平整清洁，无毛刺、飞边、砂眼以及生锈、腐蚀等损伤，无渗漏、析出物痕迹，无尖锐的凸起、边角或棱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 xml:space="preserve">13. 设备应具备不低于1.2mm厚的不锈钢 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 xml:space="preserve">14. 设备具备防尾随功能，尾随检测距离200mm 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>15. 设备的瞬间最大噪声声压小于80dB（A），持续噪声声压小于60dB（A），避免噪声对周围工作人员造成影响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</w:rPr>
              <w:t xml:space="preserve"> </w:t>
            </w:r>
          </w:p>
        </w:tc>
        <w:tc>
          <w:tcPr>
            <w:tcW w:w="883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1、宇视科技</w:t>
            </w:r>
          </w:p>
          <w:p>
            <w:pPr>
              <w:pStyle w:val="5"/>
            </w:pPr>
            <w:r>
              <w:rPr>
                <w:rFonts w:hint="eastAsia"/>
              </w:rPr>
              <w:t>2、海康威视</w:t>
            </w:r>
          </w:p>
          <w:p>
            <w:pPr>
              <w:pStyle w:val="5"/>
            </w:pPr>
            <w:r>
              <w:rPr>
                <w:rFonts w:hint="eastAsia"/>
              </w:rPr>
              <w:t>3、深讯科</w:t>
            </w:r>
          </w:p>
          <w:p>
            <w:pPr>
              <w:pStyle w:val="5"/>
            </w:pPr>
            <w:r>
              <w:t>4</w:t>
            </w:r>
            <w:r>
              <w:rPr>
                <w:rFonts w:hint="eastAsia"/>
              </w:rPr>
              <w:t>、名科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9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pStyle w:val="5"/>
      </w:pP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  <w:r>
        <w:rPr>
          <w:rFonts w:hint="eastAsia" w:ascii="宋体" w:cs="宋体"/>
          <w:color w:val="FF0000"/>
          <w:kern w:val="0"/>
          <w:szCs w:val="21"/>
        </w:rPr>
        <w:drawing>
          <wp:inline distT="0" distB="0" distL="114300" distR="114300">
            <wp:extent cx="5273040" cy="5273040"/>
            <wp:effectExtent l="0" t="0" r="3810" b="3810"/>
            <wp:docPr id="1" name="图片 1" descr="&amp;refer=http___cbu01.alicdn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&amp;refer=http___cbu01.alicdn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kern w:val="0"/>
          <w:sz w:val="24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2B1016D"/>
    <w:rsid w:val="47DD1447"/>
    <w:rsid w:val="4BEA2F78"/>
    <w:rsid w:val="4ECB15BD"/>
    <w:rsid w:val="500D2A2B"/>
    <w:rsid w:val="504B0DDD"/>
    <w:rsid w:val="541773F1"/>
    <w:rsid w:val="56C47EF1"/>
    <w:rsid w:val="61FF00F7"/>
    <w:rsid w:val="71825BC2"/>
    <w:rsid w:val="73B419A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184</Characters>
  <Lines>1</Lines>
  <Paragraphs>1</Paragraphs>
  <TotalTime>0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2023-05-23T07:12:21Z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