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1660"/>
        <w:gridCol w:w="8546"/>
      </w:tblGrid>
      <w:tr w:rsidR="000A7352">
        <w:trPr>
          <w:trHeight w:val="85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中山市中医院多中心急救管理系统项目采购需求表</w:t>
            </w:r>
          </w:p>
        </w:tc>
      </w:tr>
      <w:tr w:rsidR="000A7352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6E40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0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中山市中医院多中心急救管理系统项目</w:t>
            </w:r>
          </w:p>
        </w:tc>
      </w:tr>
      <w:tr w:rsidR="000A7352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使用科室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医务科</w:t>
            </w:r>
          </w:p>
        </w:tc>
      </w:tr>
      <w:tr w:rsidR="000A7352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1套</w:t>
            </w:r>
          </w:p>
        </w:tc>
      </w:tr>
      <w:tr w:rsidR="000A7352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150万</w:t>
            </w:r>
          </w:p>
        </w:tc>
      </w:tr>
      <w:tr w:rsidR="000A7352">
        <w:trPr>
          <w:trHeight w:val="5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采购项目采购需求</w:t>
            </w:r>
          </w:p>
        </w:tc>
      </w:tr>
      <w:tr w:rsidR="000A7352">
        <w:trPr>
          <w:trHeight w:val="55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一、技术要求</w:t>
            </w:r>
          </w:p>
        </w:tc>
      </w:tr>
      <w:tr w:rsidR="000A7352" w:rsidTr="009C6CA5"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ind w:firstLineChars="200" w:firstLine="420"/>
              <w:rPr>
                <w:rFonts w:cs="宋体"/>
                <w:kern w:val="0"/>
                <w:szCs w:val="24"/>
              </w:rPr>
            </w:pPr>
            <w:r>
              <w:rPr>
                <w:rFonts w:hint="eastAsia"/>
              </w:rPr>
              <w:t>急诊、胸痛、卒中、</w:t>
            </w:r>
            <w:r>
              <w:rPr>
                <w:rFonts w:cs="宋体" w:hint="eastAsia"/>
                <w:kern w:val="0"/>
              </w:rPr>
              <w:t>创伤中心</w:t>
            </w:r>
            <w:r>
              <w:rPr>
                <w:rFonts w:hint="eastAsia"/>
              </w:rPr>
              <w:t>信息管理系统，具有</w:t>
            </w:r>
            <w:r>
              <w:rPr>
                <w:rFonts w:cs="宋体"/>
                <w:kern w:val="0"/>
                <w:szCs w:val="24"/>
              </w:rPr>
              <w:t>胸痛中心系统、卒中中心系统、创伤中心系统三个大的模块，模块功能包含但不限于：</w:t>
            </w:r>
          </w:p>
          <w:p w:rsidR="000A7352" w:rsidRDefault="00DE4BEA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cs="宋体"/>
                <w:kern w:val="0"/>
                <w:szCs w:val="24"/>
              </w:rPr>
              <w:t>基础支撑服务、全网时间同步、</w:t>
            </w:r>
            <w:r>
              <w:rPr>
                <w:rFonts w:ascii="宋体" w:hAnsi="宋体" w:cs="宋体" w:hint="eastAsia"/>
              </w:rPr>
              <w:t>院前急救管理、</w:t>
            </w:r>
            <w:r>
              <w:rPr>
                <w:rFonts w:ascii="宋体" w:hAnsi="宋体" w:cs="宋体" w:hint="eastAsia"/>
                <w:lang w:bidi="ar"/>
              </w:rPr>
              <w:t>患者就医时间、</w:t>
            </w:r>
            <w:r>
              <w:rPr>
                <w:rFonts w:ascii="宋体" w:hAnsi="宋体" w:cs="宋体" w:hint="eastAsia"/>
                <w:kern w:val="0"/>
              </w:rPr>
              <w:t>多媒体信息展示、跨终端消息实时推送、</w:t>
            </w:r>
            <w:r>
              <w:rPr>
                <w:rFonts w:ascii="宋体" w:hAnsi="宋体" w:cs="宋体" w:hint="eastAsia"/>
                <w:lang w:bidi="ar"/>
              </w:rPr>
              <w:t>急诊绿色通道信息管理、</w:t>
            </w:r>
            <w:r>
              <w:rPr>
                <w:rFonts w:ascii="宋体" w:hAnsi="宋体" w:cs="宋体" w:hint="eastAsia"/>
                <w:kern w:val="0"/>
              </w:rPr>
              <w:t>快速检测设备数据采集系统、</w:t>
            </w:r>
            <w:r>
              <w:rPr>
                <w:rFonts w:ascii="宋体" w:hAnsi="宋体" w:cs="宋体" w:hint="eastAsia"/>
                <w:lang w:bidi="ar"/>
              </w:rPr>
              <w:t>手术信息管理、</w:t>
            </w:r>
            <w:r>
              <w:rPr>
                <w:rFonts w:ascii="宋体" w:hAnsi="宋体" w:cs="宋体" w:hint="eastAsia"/>
                <w:bCs/>
              </w:rPr>
              <w:t>胸痛综合档案管理、</w:t>
            </w:r>
            <w:r>
              <w:rPr>
                <w:rFonts w:ascii="宋体" w:hAnsi="宋体" w:cs="宋体" w:hint="eastAsia"/>
                <w:lang w:bidi="ar"/>
              </w:rPr>
              <w:t>国家数据填报、</w:t>
            </w:r>
            <w:r>
              <w:rPr>
                <w:rFonts w:ascii="宋体" w:hAnsi="宋体" w:cs="宋体" w:hint="eastAsia"/>
                <w:bCs/>
              </w:rPr>
              <w:t>患者随访管理、急性心肌梗死预警等。</w:t>
            </w:r>
          </w:p>
          <w:p w:rsidR="006E4079" w:rsidRDefault="006E4079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包括</w:t>
            </w:r>
            <w:r>
              <w:rPr>
                <w:rFonts w:ascii="宋体" w:hAnsi="宋体" w:cs="宋体"/>
                <w:bCs/>
              </w:rPr>
              <w:t>但不限于以下功能：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与急诊预检分诊系统对接获取患者信息；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 w:hint="eastAsia"/>
              </w:rPr>
              <w:t>与心电网络系统对接获取患者心电图检查数据和报告；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 w:hint="eastAsia"/>
              </w:rPr>
              <w:t>与</w:t>
            </w:r>
            <w:r>
              <w:rPr>
                <w:rFonts w:ascii="Times New Roman" w:hAnsi="Times New Roman" w:hint="eastAsia"/>
              </w:rPr>
              <w:t>HIS</w:t>
            </w:r>
            <w:r>
              <w:rPr>
                <w:rFonts w:ascii="Times New Roman" w:hAnsi="Times New Roman" w:hint="eastAsia"/>
              </w:rPr>
              <w:t>或集成平台对接获取患者基本信息、住院信息；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 w:hint="eastAsia"/>
              </w:rPr>
              <w:t>与</w:t>
            </w:r>
            <w:r>
              <w:rPr>
                <w:rFonts w:ascii="Times New Roman" w:hAnsi="Times New Roman" w:hint="eastAsia"/>
              </w:rPr>
              <w:t>LIS</w:t>
            </w:r>
            <w:r>
              <w:rPr>
                <w:rFonts w:ascii="Times New Roman" w:hAnsi="Times New Roman" w:hint="eastAsia"/>
              </w:rPr>
              <w:t>系统对接病人的检验结果数据；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 w:rsidR="00FC33CA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与</w:t>
            </w:r>
            <w:r>
              <w:rPr>
                <w:rFonts w:ascii="Times New Roman" w:hAnsi="Times New Roman" w:hint="eastAsia"/>
              </w:rPr>
              <w:t>PACS</w:t>
            </w:r>
            <w:r>
              <w:rPr>
                <w:rFonts w:ascii="Times New Roman" w:hAnsi="Times New Roman" w:hint="eastAsia"/>
              </w:rPr>
              <w:t>系统对接，快速调阅影像数据，方便医护人员进行移动决策；</w:t>
            </w:r>
          </w:p>
          <w:p w:rsidR="006E4079" w:rsidRDefault="006E4079" w:rsidP="006E407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 w:rsidR="00FC33CA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与用户现有心电图机</w:t>
            </w:r>
            <w:r>
              <w:rPr>
                <w:rFonts w:ascii="Times New Roman" w:hAnsi="Times New Roman" w:hint="eastAsia"/>
              </w:rPr>
              <w:t>对接，采集心电数据。</w:t>
            </w:r>
          </w:p>
          <w:p w:rsidR="006E4079" w:rsidRDefault="006E4079" w:rsidP="00FC33CA">
            <w:pPr>
              <w:ind w:firstLineChars="200" w:firstLine="42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</w:rPr>
              <w:t>7</w:t>
            </w:r>
            <w:r w:rsidR="00FC33CA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与用户</w:t>
            </w:r>
            <w:r>
              <w:rPr>
                <w:rFonts w:ascii="Times New Roman" w:hAnsi="Times New Roman"/>
              </w:rPr>
              <w:t>现有</w:t>
            </w:r>
            <w:r>
              <w:rPr>
                <w:rFonts w:ascii="Times New Roman" w:hAnsi="Times New Roman"/>
              </w:rPr>
              <w:t>POCT</w:t>
            </w:r>
            <w:r>
              <w:rPr>
                <w:rFonts w:ascii="Times New Roman" w:hAnsi="Times New Roman"/>
              </w:rPr>
              <w:t>快检设备对接</w:t>
            </w:r>
            <w:r>
              <w:rPr>
                <w:rFonts w:ascii="Times New Roman" w:hAnsi="Times New Roman" w:hint="eastAsia"/>
              </w:rPr>
              <w:t>，采集快检</w:t>
            </w:r>
            <w:r>
              <w:rPr>
                <w:rFonts w:ascii="Times New Roman" w:hAnsi="Times New Roman"/>
              </w:rPr>
              <w:t>数据。</w:t>
            </w:r>
          </w:p>
        </w:tc>
      </w:tr>
      <w:tr w:rsidR="00C22146" w:rsidTr="009C6CA5">
        <w:trPr>
          <w:trHeight w:val="60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46" w:rsidRDefault="00C22146" w:rsidP="009C6CA5">
            <w:pPr>
              <w:jc w:val="left"/>
            </w:pPr>
            <w:r>
              <w:rPr>
                <w:rFonts w:hint="eastAsia"/>
              </w:rPr>
              <w:t>二</w:t>
            </w:r>
            <w:r>
              <w:t>、项目要求</w:t>
            </w:r>
          </w:p>
        </w:tc>
      </w:tr>
      <w:tr w:rsidR="00C22146" w:rsidTr="009C6CA5"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46" w:rsidRDefault="00C22146" w:rsidP="00C22146">
            <w:pPr>
              <w:ind w:firstLineChars="200" w:firstLine="420"/>
            </w:pPr>
            <w:r>
              <w:t>1.《病历系统功能应用水平分级评价方法及标准》六级以上</w:t>
            </w:r>
            <w:r>
              <w:rPr>
                <w:rFonts w:hint="eastAsia"/>
              </w:rPr>
              <w:t>；</w:t>
            </w:r>
          </w:p>
          <w:p w:rsidR="00C22146" w:rsidRDefault="00C22146" w:rsidP="00C22146">
            <w:pPr>
              <w:ind w:firstLineChars="200" w:firstLine="420"/>
            </w:pPr>
            <w:r>
              <w:t>2.《医院信息互联互通标准化成熟度测评方案》四级甲等以上；</w:t>
            </w:r>
          </w:p>
          <w:p w:rsidR="00C22146" w:rsidRDefault="00C22146" w:rsidP="00C22146">
            <w:pPr>
              <w:ind w:firstLineChars="200" w:firstLine="420"/>
            </w:pPr>
            <w:r>
              <w:t>3.《医院智慧服务分级评估标准体系》三级以上</w:t>
            </w:r>
            <w:r>
              <w:rPr>
                <w:rFonts w:hint="eastAsia"/>
              </w:rPr>
              <w:t>；</w:t>
            </w:r>
          </w:p>
          <w:p w:rsidR="00C22146" w:rsidRDefault="00C22146" w:rsidP="00C22146">
            <w:pPr>
              <w:ind w:firstLineChars="200" w:firstLine="420"/>
            </w:pPr>
            <w:r>
              <w:t>4.《信息安全技术网络安全等级保护基本要求》三级；</w:t>
            </w:r>
          </w:p>
          <w:p w:rsidR="00C22146" w:rsidRDefault="00C22146" w:rsidP="00C22146">
            <w:pPr>
              <w:ind w:firstLineChars="200" w:firstLine="420"/>
            </w:pPr>
            <w:r>
              <w:t>5.《医院信息系统基本功能规范》；</w:t>
            </w:r>
          </w:p>
          <w:p w:rsidR="00C22146" w:rsidRDefault="00C22146" w:rsidP="00C22146">
            <w:pPr>
              <w:ind w:firstLineChars="200" w:firstLine="420"/>
            </w:pPr>
            <w:r>
              <w:t>6.《中医医院信息系统基本功能规范》；</w:t>
            </w:r>
          </w:p>
          <w:p w:rsidR="00C22146" w:rsidRDefault="00C22146" w:rsidP="00C22146">
            <w:pPr>
              <w:ind w:firstLineChars="200" w:firstLine="420"/>
            </w:pPr>
            <w:r>
              <w:t>7.《全国医院信息化建设标准与规范》</w:t>
            </w:r>
            <w:r>
              <w:rPr>
                <w:rFonts w:hint="eastAsia"/>
              </w:rPr>
              <w:t>；</w:t>
            </w:r>
          </w:p>
          <w:p w:rsidR="00C22146" w:rsidRDefault="00C22146" w:rsidP="00C22146">
            <w:pPr>
              <w:ind w:firstLineChars="200" w:firstLine="420"/>
            </w:pPr>
            <w:r>
              <w:t>8.《卫生系统电子认证服务规范》</w:t>
            </w:r>
            <w:r>
              <w:rPr>
                <w:rFonts w:hint="eastAsia"/>
              </w:rPr>
              <w:t>；</w:t>
            </w:r>
          </w:p>
          <w:p w:rsidR="00C22146" w:rsidRDefault="00C22146" w:rsidP="00C22146">
            <w:pPr>
              <w:ind w:firstLineChars="200" w:firstLine="420"/>
            </w:pPr>
            <w:r>
              <w:t>9.《三级中医医院评审标准》</w:t>
            </w:r>
            <w:r>
              <w:rPr>
                <w:rFonts w:hint="eastAsia"/>
              </w:rPr>
              <w:t>；</w:t>
            </w:r>
          </w:p>
          <w:p w:rsidR="00C22146" w:rsidRDefault="00C22146" w:rsidP="00C22146">
            <w:pPr>
              <w:ind w:firstLineChars="200" w:firstLine="420"/>
            </w:pPr>
            <w:r>
              <w:t>10.《信息安全技术个人信息安全规范》；</w:t>
            </w:r>
          </w:p>
          <w:p w:rsidR="00C22146" w:rsidRDefault="00C22146" w:rsidP="00C22146">
            <w:pPr>
              <w:ind w:firstLineChars="200" w:firstLine="420"/>
            </w:pPr>
            <w:r>
              <w:t>11.所有系统能够按照相关标准(和/或甲方要求)</w:t>
            </w:r>
            <w:r w:rsidR="00C947C4">
              <w:t>由供应商</w:t>
            </w:r>
            <w:r>
              <w:t>接入医院信息集成平台</w:t>
            </w:r>
            <w:r w:rsidR="00C947C4">
              <w:rPr>
                <w:rFonts w:hint="eastAsia"/>
              </w:rPr>
              <w:t>，不再额外</w:t>
            </w:r>
            <w:r w:rsidR="00C947C4">
              <w:t>收取费用</w:t>
            </w:r>
            <w:bookmarkStart w:id="0" w:name="_GoBack"/>
            <w:bookmarkEnd w:id="0"/>
            <w:r>
              <w:t>。</w:t>
            </w:r>
          </w:p>
        </w:tc>
      </w:tr>
      <w:tr w:rsidR="000A7352">
        <w:trPr>
          <w:trHeight w:val="55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9C6C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r w:rsidR="00DE4B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、商务要求</w:t>
            </w:r>
          </w:p>
        </w:tc>
      </w:tr>
      <w:tr w:rsidR="000A7352" w:rsidTr="009C6CA5">
        <w:trPr>
          <w:trHeight w:val="529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52" w:rsidRDefault="00DE4BE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免费维保期不少于2年，免费维保期后维保费用不超合同总金额7%，项目建设周期不超过60天。</w:t>
            </w:r>
          </w:p>
        </w:tc>
      </w:tr>
    </w:tbl>
    <w:p w:rsidR="000A7352" w:rsidRDefault="000A7352"/>
    <w:sectPr w:rsidR="000A7352">
      <w:footerReference w:type="default" r:id="rId6"/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1F" w:rsidRDefault="00FC5F1F">
      <w:r>
        <w:separator/>
      </w:r>
    </w:p>
  </w:endnote>
  <w:endnote w:type="continuationSeparator" w:id="0">
    <w:p w:rsidR="00FC5F1F" w:rsidRDefault="00F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106836"/>
    </w:sdtPr>
    <w:sdtEndPr/>
    <w:sdtContent>
      <w:sdt>
        <w:sdtPr>
          <w:id w:val="1728636285"/>
        </w:sdtPr>
        <w:sdtEndPr/>
        <w:sdtContent>
          <w:p w:rsidR="000A7352" w:rsidRDefault="00DE4BE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7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7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7352" w:rsidRDefault="000A73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1F" w:rsidRDefault="00FC5F1F">
      <w:r>
        <w:separator/>
      </w:r>
    </w:p>
  </w:footnote>
  <w:footnote w:type="continuationSeparator" w:id="0">
    <w:p w:rsidR="00FC5F1F" w:rsidRDefault="00FC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JiOTZkYjQ2Nzc2NTFjOGI1M2E1M2ZlZGM2MGM3ZGUifQ=="/>
    <w:docVar w:name="KSO_WPS_MARK_KEY" w:val="93210919-9d30-4cc8-be99-ccc403d8efa2"/>
  </w:docVars>
  <w:rsids>
    <w:rsidRoot w:val="00C65E44"/>
    <w:rsid w:val="0004189D"/>
    <w:rsid w:val="000A7352"/>
    <w:rsid w:val="000D7137"/>
    <w:rsid w:val="001723EA"/>
    <w:rsid w:val="001C3E09"/>
    <w:rsid w:val="001C5289"/>
    <w:rsid w:val="001F4AF4"/>
    <w:rsid w:val="002035BD"/>
    <w:rsid w:val="003308FA"/>
    <w:rsid w:val="003A5FF0"/>
    <w:rsid w:val="00412A44"/>
    <w:rsid w:val="00431D54"/>
    <w:rsid w:val="00525977"/>
    <w:rsid w:val="005265B1"/>
    <w:rsid w:val="00551829"/>
    <w:rsid w:val="005940DC"/>
    <w:rsid w:val="00652335"/>
    <w:rsid w:val="006C607E"/>
    <w:rsid w:val="006E4079"/>
    <w:rsid w:val="007872AA"/>
    <w:rsid w:val="008179CD"/>
    <w:rsid w:val="00851A43"/>
    <w:rsid w:val="00853139"/>
    <w:rsid w:val="00875F36"/>
    <w:rsid w:val="00950AA6"/>
    <w:rsid w:val="009C6CA5"/>
    <w:rsid w:val="00A5791C"/>
    <w:rsid w:val="00A66A8C"/>
    <w:rsid w:val="00B7583B"/>
    <w:rsid w:val="00BA2185"/>
    <w:rsid w:val="00BA2D22"/>
    <w:rsid w:val="00C22146"/>
    <w:rsid w:val="00C55798"/>
    <w:rsid w:val="00C65E44"/>
    <w:rsid w:val="00C76CC4"/>
    <w:rsid w:val="00C947C4"/>
    <w:rsid w:val="00CF311F"/>
    <w:rsid w:val="00D05CEC"/>
    <w:rsid w:val="00D8734E"/>
    <w:rsid w:val="00DE4BEA"/>
    <w:rsid w:val="00DF0C80"/>
    <w:rsid w:val="00E314A7"/>
    <w:rsid w:val="00E87AE6"/>
    <w:rsid w:val="00FC33CA"/>
    <w:rsid w:val="00FC5F1F"/>
    <w:rsid w:val="00FC7AA5"/>
    <w:rsid w:val="00FD4212"/>
    <w:rsid w:val="13A740BB"/>
    <w:rsid w:val="1DB91893"/>
    <w:rsid w:val="325F7DF7"/>
    <w:rsid w:val="342A71FD"/>
    <w:rsid w:val="36D35EAB"/>
    <w:rsid w:val="630A70AD"/>
    <w:rsid w:val="65FB7383"/>
    <w:rsid w:val="67DA14DE"/>
    <w:rsid w:val="69FB573C"/>
    <w:rsid w:val="71A64EEA"/>
    <w:rsid w:val="7C8D3B68"/>
    <w:rsid w:val="7CE4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3B7B"/>
  <w15:docId w15:val="{21E5019F-9356-44D9-9730-A7A098A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yy</cp:lastModifiedBy>
  <cp:revision>25</cp:revision>
  <dcterms:created xsi:type="dcterms:W3CDTF">2022-09-08T01:32:00Z</dcterms:created>
  <dcterms:modified xsi:type="dcterms:W3CDTF">2023-06-05T09:19:00Z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ECDB40DA45B84910BE42A67C7FC6046D</vt:lpwstr>
  </property>
</Properties>
</file>