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11"/>
        <w:gridCol w:w="3039"/>
        <w:gridCol w:w="883"/>
        <w:gridCol w:w="578"/>
        <w:gridCol w:w="474"/>
        <w:gridCol w:w="929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303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ind w:firstLine="180" w:firstLineChars="10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电动车货箱车</w:t>
            </w:r>
          </w:p>
        </w:tc>
        <w:tc>
          <w:tcPr>
            <w:tcW w:w="303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一、电器系统：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电控系统：智能交流控制器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电池：免维护电池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电机交流：电机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品牌交流电机，带防溜坡功能，高温保护，噪音小</w:t>
            </w:r>
          </w:p>
          <w:p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充电机：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车载智能化充电机，高频率高脉冲式充电器，带温度感应器。</w:t>
            </w:r>
          </w:p>
          <w:p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车身系统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前档：夹角玻璃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座椅：皮革座椅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后视镜：左右各一手动型外后视镜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车顶：工程塑料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地板：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铝合金防滑地板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转向系统：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齿轮齿条式转向系统+EPC电子方向助力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仪表台：智能仪表，显示电压，车速，里程，灯光前后转换信号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灯光信号：LED前灯，尾灯，制动灯，电喇叭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制动系统: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液压双回路，四轮液压制动系统+电子真空刹车助力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前悬挂系统：独立悬挂，螺旋弹簧+筒式液压减震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全浮式后桥、钢板弹簧非独立悬挂、筒式液压减震</w:t>
            </w:r>
          </w:p>
          <w:p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车轮：155 70R-12轮胎，耐磨，舒适</w:t>
            </w:r>
          </w:p>
          <w:p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主要技术参数：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车身尺寸：4000*1500*2270mm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乘坐人数：2人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最大行驶车速:≥30km/h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续航里程：≥100公里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安全爬坡都≥15%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最小转弯半径≤5m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最小离地间隙≤150/140mm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轴距;2050mm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轮距前后≥1300mm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制动距离：≥5m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货箱尺寸：2500*1450*1600mm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货箱材质：保温/隔热XPS挤塑板，高强度复合材料，不锈钢合页铝合金包边条，车箱地板为铝合金防滑地板</w:t>
            </w:r>
          </w:p>
          <w:p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液压升降尾板;升降称重300kg</w:t>
            </w:r>
          </w:p>
          <w:p>
            <w:pPr>
              <w:pStyle w:val="5"/>
              <w:rPr>
                <w:rFonts w:cs="宋体" w:asciiTheme="minorEastAsia" w:hAnsiTheme="minorEastAsia"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2"/>
              </w:rPr>
              <w:t>液压升降尾板尺寸;1400mm*</w:t>
            </w:r>
            <w:r>
              <w:rPr>
                <w:rFonts w:ascii="宋体" w:hAnsi="宋体" w:cs="宋体"/>
                <w:bCs/>
                <w:color w:val="000000"/>
                <w:kern w:val="2"/>
                <w:sz w:val="21"/>
                <w:szCs w:val="22"/>
              </w:rPr>
              <w:t>950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2"/>
              </w:rPr>
              <w:t>mm</w:t>
            </w:r>
          </w:p>
        </w:tc>
        <w:tc>
          <w:tcPr>
            <w:tcW w:w="883" w:type="dxa"/>
          </w:tcPr>
          <w:p>
            <w:pPr>
              <w:pStyle w:val="5"/>
            </w:pP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9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供应商报价的品牌不限、但规格参数要符合或优于上述标准。</w:t>
      </w:r>
    </w:p>
    <w:p>
      <w:pPr>
        <w:pStyle w:val="5"/>
      </w:pPr>
    </w:p>
    <w:p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参考图片：</w:t>
      </w:r>
    </w:p>
    <w:p>
      <w:pPr>
        <w:pStyle w:val="5"/>
      </w:pPr>
      <w:r>
        <w:rPr>
          <w:rFonts w:hint="eastAsia"/>
        </w:rPr>
        <w:drawing>
          <wp:inline distT="0" distB="0" distL="114300" distR="114300">
            <wp:extent cx="4244340" cy="4244340"/>
            <wp:effectExtent l="0" t="0" r="3810" b="3810"/>
            <wp:docPr id="1" name="图片 1" descr="货厢小货车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货厢小货车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rPr>
          <w:rFonts w:hint="eastAsia"/>
        </w:rPr>
        <w:drawing>
          <wp:inline distT="0" distB="0" distL="114300" distR="114300">
            <wp:extent cx="4272915" cy="4272915"/>
            <wp:effectExtent l="0" t="0" r="13335" b="13335"/>
            <wp:docPr id="2" name="图片 2" descr="货厢小货车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货厢小货车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85552"/>
    <w:multiLevelType w:val="singleLevel"/>
    <w:tmpl w:val="B61855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E221C9"/>
    <w:multiLevelType w:val="singleLevel"/>
    <w:tmpl w:val="1CE221C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8CCA91"/>
    <w:multiLevelType w:val="singleLevel"/>
    <w:tmpl w:val="258CCA9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C70E4A1"/>
    <w:multiLevelType w:val="singleLevel"/>
    <w:tmpl w:val="3C70E4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6C47EF1"/>
    <w:rsid w:val="61FF00F7"/>
    <w:rsid w:val="71825BC2"/>
    <w:rsid w:val="73B419A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389</Characters>
  <Lines>1</Lines>
  <Paragraphs>1</Paragraphs>
  <TotalTime>0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2023-06-16T06:36:54Z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