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06" w:type="dxa"/>
        <w:tblInd w:w="250" w:type="dxa"/>
        <w:tblLayout w:type="autofit"/>
        <w:tblCellMar>
          <w:top w:w="0" w:type="dxa"/>
          <w:left w:w="108" w:type="dxa"/>
          <w:bottom w:w="0" w:type="dxa"/>
          <w:right w:w="108" w:type="dxa"/>
        </w:tblCellMar>
      </w:tblPr>
      <w:tblGrid>
        <w:gridCol w:w="1660"/>
        <w:gridCol w:w="8546"/>
      </w:tblGrid>
      <w:tr>
        <w:trPr>
          <w:trHeight w:val="855" w:hRule="atLeast"/>
        </w:trPr>
        <w:tc>
          <w:tcPr>
            <w:tcW w:w="10206" w:type="dxa"/>
            <w:gridSpan w:val="2"/>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36"/>
                <w:szCs w:val="36"/>
              </w:rPr>
            </w:pPr>
            <w:r>
              <w:rPr>
                <w:rFonts w:hint="eastAsia" w:ascii="等线" w:hAnsi="等线" w:eastAsia="等线" w:cs="宋体"/>
                <w:color w:val="000000"/>
                <w:kern w:val="0"/>
                <w:sz w:val="36"/>
                <w:szCs w:val="36"/>
              </w:rPr>
              <w:t>中山市中医院HRP系统项目采购需求表</w:t>
            </w:r>
          </w:p>
        </w:tc>
      </w:tr>
      <w:tr>
        <w:tblPrEx>
          <w:tblCellMar>
            <w:top w:w="0" w:type="dxa"/>
            <w:left w:w="108" w:type="dxa"/>
            <w:bottom w:w="0" w:type="dxa"/>
            <w:right w:w="108" w:type="dxa"/>
          </w:tblCellMar>
        </w:tblPrEx>
        <w:trPr>
          <w:trHeight w:val="555" w:hRule="atLeast"/>
        </w:trPr>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85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中山市中医院HRP系统项目</w:t>
            </w:r>
          </w:p>
        </w:tc>
      </w:tr>
      <w:tr>
        <w:tblPrEx>
          <w:tblCellMar>
            <w:top w:w="0" w:type="dxa"/>
            <w:left w:w="108" w:type="dxa"/>
            <w:bottom w:w="0" w:type="dxa"/>
            <w:right w:w="108" w:type="dxa"/>
          </w:tblCellMar>
        </w:tblPrEx>
        <w:trPr>
          <w:trHeight w:val="555" w:hRule="atLeast"/>
        </w:trPr>
        <w:tc>
          <w:tcPr>
            <w:tcW w:w="1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使用科室</w:t>
            </w:r>
          </w:p>
        </w:tc>
        <w:tc>
          <w:tcPr>
            <w:tcW w:w="8546"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lang w:eastAsia="zh-CN"/>
              </w:rPr>
              <w:t>财务部</w:t>
            </w:r>
            <w:bookmarkStart w:id="0" w:name="_GoBack"/>
            <w:bookmarkEnd w:id="0"/>
          </w:p>
        </w:tc>
      </w:tr>
      <w:tr>
        <w:tblPrEx>
          <w:tblCellMar>
            <w:top w:w="0" w:type="dxa"/>
            <w:left w:w="108" w:type="dxa"/>
            <w:bottom w:w="0" w:type="dxa"/>
            <w:right w:w="108" w:type="dxa"/>
          </w:tblCellMar>
        </w:tblPrEx>
        <w:trPr>
          <w:trHeight w:val="555" w:hRule="atLeast"/>
        </w:trPr>
        <w:tc>
          <w:tcPr>
            <w:tcW w:w="1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数量</w:t>
            </w:r>
          </w:p>
        </w:tc>
        <w:tc>
          <w:tcPr>
            <w:tcW w:w="8546"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1套</w:t>
            </w:r>
          </w:p>
        </w:tc>
      </w:tr>
      <w:tr>
        <w:tblPrEx>
          <w:tblCellMar>
            <w:top w:w="0" w:type="dxa"/>
            <w:left w:w="108" w:type="dxa"/>
            <w:bottom w:w="0" w:type="dxa"/>
            <w:right w:w="108" w:type="dxa"/>
          </w:tblCellMar>
        </w:tblPrEx>
        <w:trPr>
          <w:trHeight w:val="555" w:hRule="atLeast"/>
        </w:trPr>
        <w:tc>
          <w:tcPr>
            <w:tcW w:w="1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预算金额</w:t>
            </w:r>
          </w:p>
        </w:tc>
        <w:tc>
          <w:tcPr>
            <w:tcW w:w="8546"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lang w:val="en-US" w:eastAsia="zh-CN"/>
              </w:rPr>
              <w:t>500</w:t>
            </w:r>
            <w:r>
              <w:rPr>
                <w:rFonts w:hint="eastAsia" w:ascii="等线" w:hAnsi="等线" w:eastAsia="等线" w:cs="宋体"/>
                <w:color w:val="000000"/>
                <w:kern w:val="0"/>
                <w:sz w:val="22"/>
              </w:rPr>
              <w:t>万</w:t>
            </w:r>
          </w:p>
        </w:tc>
      </w:tr>
      <w:tr>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采购项目采购需求</w:t>
            </w:r>
          </w:p>
        </w:tc>
      </w:tr>
      <w:tr>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tblPrEx>
          <w:tblCellMar>
            <w:top w:w="0" w:type="dxa"/>
            <w:left w:w="108" w:type="dxa"/>
            <w:bottom w:w="0" w:type="dxa"/>
            <w:right w:w="108" w:type="dxa"/>
          </w:tblCellMar>
        </w:tblPrEx>
        <w:tc>
          <w:tcPr>
            <w:tcW w:w="10206" w:type="dxa"/>
            <w:gridSpan w:val="2"/>
            <w:tcBorders>
              <w:top w:val="nil"/>
              <w:left w:val="single" w:color="auto" w:sz="4" w:space="0"/>
              <w:bottom w:val="single" w:color="auto" w:sz="4" w:space="0"/>
              <w:right w:val="single" w:color="auto" w:sz="4" w:space="0"/>
            </w:tcBorders>
            <w:shd w:val="clear" w:color="auto" w:fill="auto"/>
            <w:vAlign w:val="center"/>
          </w:tcPr>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包括但不限于以下模块功能：</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(一)会计管理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满足医院执行政府会计制度的要求，具备账簿处理、凭证编制、报表编制、查询分析等功能。通过凭证自动化生成及入账，实现业财融合及一体化。</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1、支持进行凭证的录入、审核、记账、结账和打印等基本业务操作。凭证录入可以进行财务会计和预算会计平行记账。</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2、设置与HIS收费、采购管理、费用摊销、固定资产、合同管理、票据管理、设备管理、物流管理、现金管理、薪酬管理、药品管理、报销管理业务系统的对接，自动凭证模板设置，实现相关凭证的自动生成。</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3、支持医院多种辅助核算，能够按照管理需求自定义辅助核算。</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4、支持往来账管理，支持凭证制作保存后进行自动核销或者手工核销往来款项。包含往来集中/部分/手工核销、核销日志、往来查询、账龄分析、计划分析、坏账提取、往来设置。</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4、会计核算账务处理功能可以实现财务盈余与预算结余差异自动或手动标记，自动生成差异情况说明表。</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5、支持现金流量标注，自动生成现金流量表。</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6、支持自定义报表模板，可执行多科目分类、汇总查询，按科室类别查询等各种查询条件，以及生成各类报表，满足多样化的查询需求。系统内置了政府会计制度要求的相关报表，包括：资产负债表、收入费用表、净资产变动表、现金流量表、预算收入支出表、预算结转结余变动表、财政拨款预算收入支出表等。</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(二)预算管理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全面预算管理作为医院经济运行控制主线，主要包含业务预算、收入预算、支出预算、项目预算、采购预算、资金预算等内容。能提供多种预算编制方法，支持自上而下、自下而上、N上M下的编制流程，所有预算编制均做到有据可依、科学编制；能够对预算的执行在各业务系统中进行实时监控，同时在预算系统中完成执行核销与预算执行分析；实现事前计划、事中监督、事后分析的管理模式。</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1、基础设置：包含预算单位、归口科室、预算科室、预算类型、预算类别、预算指标、编制流程、预算表样、项目立项等内容。</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2、项目库管理：支持对预算项目、基本建设、大型设备购置和其他重点项目进行充分论证后进入项目库，作为后续预算编制与执行的数据源头，与后续环节进行流程与数据关联。</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3、预算论证：包含对论证类型进行设置、临床科室填报论证申请、相关部门论证评审、预算论证统计汇总等内容。</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4、绩效目标：支持定义预算绩效目标类型，并对绩效目标进行填报。</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5、预算编制：包含预算指标分配、科室填报、归口填报、院方填报、集团填报、预算审批、预算编制情况一览表等内容。</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6、预算批复：预算委员会批复全院预算时使用，可按科室罗列、归口罗列，项目罗列、预算科目罗列视角出批复，支持定义出收支平衡分析表</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7、预算号管理：支持查看预算号的编制额/调整额/预算执行情况，以及设置预算号的启/停用。</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8、预算调整：支持调整单线上审批流程，根据流程职能科室（归口科室）、财务、预算管理委员会可对预算调整表进行审批。</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9、预算执行：支持与其他业务系统集成，支持灵活的控制策略，通过执行刚性和柔性控制策略，实现预算对报销支出、采购合同等支出业务的预算管控。</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10预算分析：按照医院预算管理要求，通过环比、同比、结构、趋势等分析方法对收入预算、支出预算、采购预算、科教预算、资本性支出预算的预算树、执行数进行分析。</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(三)合同管理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建立全院级合同管理平台，实现合同管理多属性、合同业务全流程、合同资料全归集的目标。通过系统对合同的业务进行自动控制或提供参照，将合同管理过程中的关键动作或状态，如合同起草、保存、审批、签章、生效、变更、执行、冻结、废止、终止预警等，统一纳入系统中进行管理，并提供合同的收付款业务处理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1、实现合同签订与预算系统关联，无预算不得进行合同录入，付款与合同关联，严格按合同进度付款，使合同管理业务处理完全符合财务内部控制要求。</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2、合同执行：系统支出合同履行、合同中止、合同变更、合同归档、追踪分析、保证金管理、合同结算、违约索赔相关业务功能。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3、合同预警：系统支持截止日期、近期应归还保证金提醒、临近保修期提醒、近期应付提醒、近期应收款提醒、到货提醒。</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4、合同报表：支持我发起的合同、合同查询报表、合同执行情况分析、合同预算报表、资产采购统计相关业务功能、</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(四)报销管理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报销管理实现员工填单及业务报账等业务管理，支持使用扫描、文字识别等技术，推动报销业务支出标准化、便捷化、自动化、审批移动化、业财一体化。</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支持报销业务、费用管理、审批流程等相关活动，满足医院内部控制管理、流程管理和费用控制等要求，支持各种设置规则，如资金来源设置、费用支出控制规则设置、常用单据设置、费用类型设置、报销类型设置、报销标准设置、分摊规则设置等。</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2、费用申请，支持费用申请及预算控制，支持费用标准知识库嵌入及维护，支持对已审批通过的费用申请进行关闭操作及对应预算释放，支持申请单录入、管理、查询。</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报销管理，支持医院报销管理业务，根据报销业务和报销标准进行报销单据录入、审批、管理及查询。支持费用申请、预算管理、往来管理向关联，满足员工直接报销等业务，可在报销时扣减费用申请所占预算、核销借款、往来款及扣减借款后所占用预算。</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4、费用核算，支持报销业务的费用核算，支持单据凭证生成及入账、费用摊销、费用待摊等，支持多部门业务费用分摊等。</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5、移动报销：支持移动端发起报销、上传发票照片、移动审批报销单、个人发票中心、报销统计、报销助手等。支持在线发票验真，并返回正假结果，支持发票自动填单、发票查重等。</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(五)银医直联</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银医直连为医院提供了一个资金流入流出的管理平台，将应收应付、报销管理、智能发放、专项管理等模块的资金收付统一集中在资金结算平台，也支持医院零星资金的收付款业务登记，现金的缴存和取现业务。实现医院与银行系统的业务对接，主要包括基础设置、资金结算平台、账户余额、网银支付指令状态单、网银支付确认单、支持当日交易查询、历史交易查询、单笔付款指令查询、代发付款指令查询相关查询功能等功能。</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(六)薪酬发放</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支持对各类薪酬项目的灵活维护，可根据客户实际的要求，可视化定制薪酬项目。支持灵活设置不同类型员工的各类薪资项目及其计算方式。支持输入、导入、接口方式获取人力薪资数据，如：岗位工资、薪级工资、岗位津贴等。支持录入、导入、接口方式获取科室零星项目申报数据，如：加班费、劳务费、扣水费、扣电费等。根据公式计算薪酬数据，代发之前需要审批，参数可配置对于医院存在工资奖金分开发放、多部门奖金先算完先发放、后算完后发放等场景。支持薪酬调整、批量修改。支持个人薪资查询、社保福利查询等，支持手机薪酬查询。</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(七)专项经费管理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专项管理系统主要对医院的科研项目、人才项目、临床项目、教育项目等各类专项项目从立项到结项的全过程进行管理。支持多资金来源、横向项目、纵向项目等不同来源的资金进行管理。具体包括但不限于：</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1、项目立项任务书管理：支持对项目立项任务书的管理，包括项目来源、项目参与人、项目资金来源、项目管理科室、项目参与科室等。</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2、预算管理：包含项目预算录入、调整及项目年度结账管理，支持审批流管理。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3、收入管理：包含外拨经费到账、院内资金下拨、项目经费认领、认领部门审核、经费分配、余额转账、到账明细查询。</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4、支出管理：对项目的各类支出进行管理，比如耗材试剂支出、劳务费支出、采购设备支出、管理费提取等。</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5、项目成果管理：包括各类成果的管理，比如论文、专著等。</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6、项目奖励：对项目进行奖励的核算及发放。</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7、项目经费查询：预算到账查询、项目执行统计、项目余额表、项目明细账、科研财务对账。</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8、项目结项：支持项目的结项管理。</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(八)采购管理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支持对医院采购全流程进行管理，包括预算项目导入板块、采购计划板块、采购实施板块、合同履约板块、市场调研/需求调查板块、风险管控板块、供应商服务板块、移动端板块、采购档案板块、院内评审板块、统计分析板块、系统管理板块等等，实现各类采购、招标业务工作的全过程电子化管理以规范采购流程、提高招标效率。</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(九)绩效管理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针对医院不同的绩效管理方式，设置不同的考核方案，包括考核方案的维护、考核方案的属性设置、考核分类奖金项目设置、核算单元方案设置、方案指标权限分配等。</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1、绩效管理系统与人员信息管理、智能发放等模块互联互通，并自动采集数据。</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2、支持灵活多样的考核方法，包括RBRVS点值法的本土化调整、运营绩效等。</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3、支持医护技实行分开核算。</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4、可以整合医院目前的各类专项绩效方案及核算模式。</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5、结合国家三级公立医院绩效考核的四个维度，支持建立医院绩效考核指标库，支持各项指标数据的自动提取或者录入、采集、汇总等功能，考核结果与绩效工资挂钩。</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6、支持绩效工资客户端的查询功能，支持不同等级的查询功能。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7、支持绩效工资分配金额的发放、科室二次分配结果的回传和汇总，确保数据准确、安全。</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8、支持各类绩效分析报表的设置和查询，实现院级、科级和诊疗组运营情况的分析对比。</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(十)单机绩效</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单机效能主要包含设备采购前的效益论证，设备运行过程中的各类精细效益、效率、成本的分析处理。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1、能够与相关业务系统共享信息，自动获取部分大型医疗设备相关业务数据，如工作量、阳性率、收入等，结合汇总记录的能源消耗、人力等成本数据，自动生成分析报告。</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能够统自动获取汇总各科室各类设备HIS收费数据、和成本数据（包括折旧成本、运行成本、维修成本等），支持成本归集、成本分摊功能，设备直接成本数据归集查询与计算，科室成本数据分摊至设备查询与计算。</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3、能够根据业务运行情况进行设备采购前效益论证，对设备的收入、成本和效益进行分析、从经济角度对设备效益进行分析可生成报告。</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4、能够综合基础数据生成使用科室设备效益分析报表等。</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(十一)固定资产管理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固定资产管理支持医院固定资产及无形资产的日常核算，满足医院对固定资产及无形资产的资产卡片、资产变动、资产处置、资产盘点、资产调动、月末处理、报表分析的全生命周期流程管理需求。</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1、支持资产入库、科室领用及资产退货、资产退库业务功能。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2、系统支持资产转移、资产变动、原值变动、使用状态变动相关业务功能。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3、系统支持资产处置管理、资产处置台账查询功能。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4、满足医院资产盘点基本要求，主要提供资产盘点单、盘亏盘盈单及盘点清查查询功能。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5、提供按照固定资产分类进行条码生成内容设置；支持资产卡片生成条码内容及条码打印；支持附属设备条码生成及打印。</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6、折旧摊销：满足医院对资产折旧摊销业务要求，支持平均年限法和工作量法折旧；支持资产计提折旧、摊销及反折旧、反摊销功能。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7、支持资产期末结账处理业务功能。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8、系统支持采购发票维护、未开票统计、发票统计查询功能。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9、支持医院财务类报表和管理报表要求，提供折旧账表、资产月报、资产总账、变动账表、资产入库分析报表数据；提供资产增减、资产分布及资产入库出库、科室资产分布报表数据。</w:t>
            </w:r>
          </w:p>
          <w:p>
            <w:pPr>
              <w:ind w:firstLine="400" w:firstLineChars="200"/>
              <w:rPr>
                <w:rFonts w:hint="eastAsia" w:ascii="等线" w:hAnsi="等线" w:eastAsia="等线" w:cs="等线"/>
                <w:b/>
                <w:bCs/>
                <w:color w:val="000000"/>
                <w:kern w:val="0"/>
                <w:sz w:val="20"/>
                <w:szCs w:val="20"/>
                <w:lang w:eastAsia="zh-CN"/>
              </w:rPr>
            </w:pPr>
            <w:r>
              <w:rPr>
                <w:rFonts w:hint="eastAsia" w:ascii="等线" w:hAnsi="等线" w:eastAsia="等线" w:cs="等线"/>
                <w:b/>
                <w:bCs/>
                <w:color w:val="000000"/>
                <w:kern w:val="0"/>
                <w:sz w:val="20"/>
                <w:szCs w:val="20"/>
                <w:lang w:eastAsia="zh-CN"/>
              </w:rPr>
              <w:t>(十二)成本管理（科室）</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支持以科室为成本核算对象，按照一定流程和方法归集相关费用，计算科室成本的过程。采用阶梯分摊法，提供不同科目、不同科室按照不同分摊参数进行配置，按照分项逐级分步结转的方式进行逐级分摊，并支持所有分摊结果全程可追溯。</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1、支持根据对应关系自动对成本进行归集的功能，归集过程中可提供成本数据与成本总账的校验功能。</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2、支持对成本的二次分配管理，可根据管理需要灵活设定分配和归集的先后顺序，可根据分配规则自动对成本进行分配。</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要求按照《医院财务制度》规定的“三级四类分摊法”对成本数据进行分摊，完成全成本核算工作，并能提供对医疗业务成本、医疗成本、医疗全成本、医院全成本的处理，分摊管理支持同一科室不同成本项目按不同的动因进行分摊，支持同级分摊、定向分摊，支持对分摊的数据进行校验，确保分摊结果的准确性。</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4、支持提供体系化的成本分析功能，主要从收益、构成、排序、单元、绩效等角度进行分析；</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5、支持提供《公立医院成本核算规范》中要求的科室成本核算报表，同时可以根据医院管理需要，支持自定义报表功能。</w:t>
            </w:r>
          </w:p>
          <w:p>
            <w:pPr>
              <w:ind w:firstLine="400" w:firstLineChars="200"/>
              <w:rPr>
                <w:rFonts w:hint="eastAsia" w:ascii="等线" w:hAnsi="等线" w:eastAsia="等线" w:cs="宋体"/>
                <w:color w:val="000000"/>
                <w:kern w:val="0"/>
                <w:sz w:val="22"/>
                <w:lang w:eastAsia="zh-CN"/>
              </w:rPr>
            </w:pPr>
            <w:r>
              <w:rPr>
                <w:rFonts w:hint="eastAsia" w:ascii="等线" w:hAnsi="等线" w:eastAsia="等线" w:cs="等线"/>
                <w:color w:val="000000"/>
                <w:kern w:val="0"/>
                <w:sz w:val="20"/>
                <w:szCs w:val="20"/>
                <w:lang w:eastAsia="zh-CN"/>
              </w:rPr>
              <w:t>6、具体功能包括：数据采集、数据归集、分摊配置、成本分摊、成本报表、医院成本分析、集团成本分析、科主任成本分析、基础设置等。</w:t>
            </w:r>
          </w:p>
        </w:tc>
      </w:tr>
      <w:tr>
        <w:tblPrEx>
          <w:tblCellMar>
            <w:top w:w="0" w:type="dxa"/>
            <w:left w:w="108" w:type="dxa"/>
            <w:bottom w:w="0" w:type="dxa"/>
            <w:right w:w="108" w:type="dxa"/>
          </w:tblCellMar>
        </w:tblPrEx>
        <w:trPr>
          <w:trHeight w:val="60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pPr>
              <w:jc w:val="left"/>
            </w:pPr>
            <w:r>
              <w:rPr>
                <w:rFonts w:hint="eastAsia"/>
              </w:rPr>
              <w:t>二</w:t>
            </w:r>
            <w:r>
              <w:t>、项目要求</w:t>
            </w:r>
          </w:p>
        </w:tc>
      </w:tr>
      <w:tr>
        <w:tblPrEx>
          <w:tblCellMar>
            <w:top w:w="0" w:type="dxa"/>
            <w:left w:w="108" w:type="dxa"/>
            <w:bottom w:w="0" w:type="dxa"/>
            <w:right w:w="108" w:type="dxa"/>
          </w:tblCellMar>
        </w:tblPrEx>
        <w:tc>
          <w:tcPr>
            <w:tcW w:w="10206" w:type="dxa"/>
            <w:gridSpan w:val="2"/>
            <w:tcBorders>
              <w:top w:val="nil"/>
              <w:left w:val="single" w:color="auto" w:sz="4" w:space="0"/>
              <w:bottom w:val="single" w:color="auto" w:sz="4" w:space="0"/>
              <w:right w:val="single" w:color="auto" w:sz="4" w:space="0"/>
            </w:tcBorders>
            <w:shd w:val="clear" w:color="auto" w:fill="auto"/>
            <w:vAlign w:val="center"/>
          </w:tcPr>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1《病历系统功能应用水平分级评价方法及标准》六级以上；</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2《医院信息互联互通标准化成熟度测评方案》四级甲等以上；</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3《医院智慧服务分级评估标准体系》三级以上；</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4《医院智慧管理分级评估标准体系》三级以上；</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5《信息安全技术网络安全等级保护基本要求》三级；</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6《医院信息系统基本功能规范》；</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7《中医医院信息系统基本功能规范》；</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8《全国医院信息化建设标准与规范》；</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9《卫生系统电子认证服务规范》；</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10《三级中医医院评审标准》；</w:t>
            </w:r>
          </w:p>
          <w:p>
            <w:pPr>
              <w:ind w:firstLine="400" w:firstLineChars="200"/>
              <w:rPr>
                <w:rFonts w:hint="eastAsia" w:ascii="等线" w:hAnsi="等线" w:eastAsia="等线" w:cs="等线"/>
                <w:color w:val="000000"/>
                <w:kern w:val="0"/>
                <w:sz w:val="20"/>
                <w:szCs w:val="20"/>
                <w:lang w:eastAsia="zh-CN"/>
              </w:rPr>
            </w:pPr>
            <w:r>
              <w:rPr>
                <w:rFonts w:hint="eastAsia" w:ascii="等线" w:hAnsi="等线" w:eastAsia="等线" w:cs="等线"/>
                <w:color w:val="000000"/>
                <w:kern w:val="0"/>
                <w:sz w:val="20"/>
                <w:szCs w:val="20"/>
                <w:lang w:eastAsia="zh-CN"/>
              </w:rPr>
              <w:t>11《信息安全技术个人信息安全规范》；</w:t>
            </w:r>
          </w:p>
          <w:p>
            <w:pPr>
              <w:ind w:firstLine="400" w:firstLineChars="200"/>
              <w:rPr>
                <w:rFonts w:hint="eastAsia"/>
              </w:rPr>
            </w:pPr>
            <w:r>
              <w:rPr>
                <w:rFonts w:hint="eastAsia" w:ascii="等线" w:hAnsi="等线" w:eastAsia="等线" w:cs="等线"/>
                <w:color w:val="000000"/>
                <w:kern w:val="0"/>
                <w:sz w:val="20"/>
                <w:szCs w:val="20"/>
                <w:lang w:eastAsia="zh-CN"/>
              </w:rPr>
              <w:t>12所有系统能够按照相关标准(和/或甲方要求)由供应商免费接入医院信息集成平台、数据中心和需要数据的业务系统。</w:t>
            </w:r>
          </w:p>
        </w:tc>
      </w:tr>
      <w:tr>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tblPrEx>
          <w:tblCellMar>
            <w:top w:w="0" w:type="dxa"/>
            <w:left w:w="108" w:type="dxa"/>
            <w:bottom w:w="0" w:type="dxa"/>
            <w:right w:w="108" w:type="dxa"/>
          </w:tblCellMar>
        </w:tblPrEx>
        <w:trPr>
          <w:trHeight w:val="529"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pPr>
              <w:widowControl/>
              <w:ind w:firstLine="400" w:firstLineChars="200"/>
              <w:jc w:val="left"/>
              <w:rPr>
                <w:rFonts w:ascii="等线" w:hAnsi="等线" w:eastAsia="等线" w:cs="宋体"/>
                <w:i/>
                <w:color w:val="FF0000"/>
                <w:kern w:val="0"/>
                <w:sz w:val="22"/>
              </w:rPr>
            </w:pPr>
            <w:r>
              <w:rPr>
                <w:rFonts w:hint="eastAsia" w:ascii="等线" w:hAnsi="等线" w:eastAsia="等线" w:cs="等线"/>
                <w:color w:val="000000"/>
                <w:kern w:val="0"/>
                <w:sz w:val="20"/>
                <w:szCs w:val="20"/>
                <w:lang w:eastAsia="zh-CN"/>
              </w:rPr>
              <w:t>免费维保期不少于2年，免费维保期后维保费用不超合同总金额7%，项目建设周期不超过60天。</w:t>
            </w:r>
          </w:p>
        </w:tc>
      </w:tr>
    </w:tbl>
    <w:p/>
    <w:sectPr>
      <w:footerReference r:id="rId3" w:type="default"/>
      <w:pgSz w:w="11906" w:h="16838"/>
      <w:pgMar w:top="1134" w:right="1800" w:bottom="1134" w:left="85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2ZjdhNTFmMTFiN2RkZDYyY2E5MTdiY2RlNDk3MWEifQ=="/>
    <w:docVar w:name="KSO_WPS_MARK_KEY" w:val="93210919-9d30-4cc8-be99-ccc403d8efa2"/>
  </w:docVars>
  <w:rsids>
    <w:rsidRoot w:val="00C65E44"/>
    <w:rsid w:val="0004189D"/>
    <w:rsid w:val="000A7352"/>
    <w:rsid w:val="000D7137"/>
    <w:rsid w:val="001723EA"/>
    <w:rsid w:val="001C3E09"/>
    <w:rsid w:val="001C5289"/>
    <w:rsid w:val="001F4AF4"/>
    <w:rsid w:val="002035BD"/>
    <w:rsid w:val="003308FA"/>
    <w:rsid w:val="003A5FF0"/>
    <w:rsid w:val="00412A44"/>
    <w:rsid w:val="00431D54"/>
    <w:rsid w:val="00525977"/>
    <w:rsid w:val="005265B1"/>
    <w:rsid w:val="00551829"/>
    <w:rsid w:val="005940DC"/>
    <w:rsid w:val="00652335"/>
    <w:rsid w:val="006C607E"/>
    <w:rsid w:val="006E4079"/>
    <w:rsid w:val="007872AA"/>
    <w:rsid w:val="008179CD"/>
    <w:rsid w:val="00851A43"/>
    <w:rsid w:val="00853139"/>
    <w:rsid w:val="00875F36"/>
    <w:rsid w:val="00950AA6"/>
    <w:rsid w:val="009C6CA5"/>
    <w:rsid w:val="00A5791C"/>
    <w:rsid w:val="00A66A8C"/>
    <w:rsid w:val="00B7583B"/>
    <w:rsid w:val="00BA2185"/>
    <w:rsid w:val="00BA2D22"/>
    <w:rsid w:val="00C22146"/>
    <w:rsid w:val="00C55798"/>
    <w:rsid w:val="00C65E44"/>
    <w:rsid w:val="00C76CC4"/>
    <w:rsid w:val="00C947C4"/>
    <w:rsid w:val="00CF311F"/>
    <w:rsid w:val="00D05CEC"/>
    <w:rsid w:val="00D8734E"/>
    <w:rsid w:val="00DE4BEA"/>
    <w:rsid w:val="00DF0C80"/>
    <w:rsid w:val="00E314A7"/>
    <w:rsid w:val="00E87AE6"/>
    <w:rsid w:val="00FC33CA"/>
    <w:rsid w:val="00FC5F1F"/>
    <w:rsid w:val="00FC7AA5"/>
    <w:rsid w:val="00FD4212"/>
    <w:rsid w:val="13A740BB"/>
    <w:rsid w:val="1CAF2DA1"/>
    <w:rsid w:val="1DB91893"/>
    <w:rsid w:val="21E1326A"/>
    <w:rsid w:val="325F7DF7"/>
    <w:rsid w:val="342A71FD"/>
    <w:rsid w:val="36D35EAB"/>
    <w:rsid w:val="5EAF7D75"/>
    <w:rsid w:val="630A70AD"/>
    <w:rsid w:val="65FB7383"/>
    <w:rsid w:val="67DA14DE"/>
    <w:rsid w:val="69FB573C"/>
    <w:rsid w:val="71A64EEA"/>
    <w:rsid w:val="7C8D3B68"/>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700</Words>
  <Characters>738</Characters>
  <Lines>5</Lines>
  <Paragraphs>1</Paragraphs>
  <TotalTime>10</TotalTime>
  <ScaleCrop>false</ScaleCrop>
  <LinksUpToDate>false</LinksUpToDate>
  <CharactersWithSpaces>738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Internet3</cp:lastModifiedBy>
  <dcterms:modified xsi:type="dcterms:W3CDTF">2023-08-07T07:47:30Z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ECDB40DA45B84910BE42A67C7FC6046D</vt:lpwstr>
  </property>
</Properties>
</file>