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35" w:rsidRPr="00F5515B" w:rsidRDefault="00321040" w:rsidP="002165DB">
      <w:pPr>
        <w:jc w:val="center"/>
        <w:rPr>
          <w:b/>
          <w:sz w:val="32"/>
        </w:rPr>
      </w:pPr>
      <w:r w:rsidRPr="00F5515B">
        <w:rPr>
          <w:b/>
          <w:sz w:val="32"/>
        </w:rPr>
        <w:t>中山市脑卒中救治管理平台</w:t>
      </w:r>
    </w:p>
    <w:p w:rsidR="002165DB" w:rsidRPr="00F5515B" w:rsidRDefault="00321040" w:rsidP="002165DB">
      <w:pPr>
        <w:ind w:firstLineChars="200" w:firstLine="562"/>
        <w:rPr>
          <w:b/>
          <w:sz w:val="28"/>
          <w:szCs w:val="28"/>
        </w:rPr>
      </w:pPr>
      <w:r w:rsidRPr="00F5515B">
        <w:rPr>
          <w:rFonts w:hint="eastAsia"/>
          <w:b/>
          <w:sz w:val="28"/>
          <w:szCs w:val="28"/>
        </w:rPr>
        <w:t>目标：</w:t>
      </w:r>
    </w:p>
    <w:p w:rsidR="002165DB" w:rsidRPr="00F5515B" w:rsidRDefault="00321040" w:rsidP="002165DB">
      <w:pPr>
        <w:ind w:firstLineChars="200" w:firstLine="560"/>
        <w:rPr>
          <w:sz w:val="28"/>
          <w:szCs w:val="28"/>
        </w:rPr>
      </w:pPr>
      <w:r w:rsidRPr="00F5515B">
        <w:rPr>
          <w:sz w:val="28"/>
          <w:szCs w:val="28"/>
        </w:rPr>
        <w:t>实现市内各级医疗机构脑卒中患者全流程管理</w:t>
      </w:r>
      <w:r w:rsidRPr="00F5515B">
        <w:rPr>
          <w:rFonts w:hint="eastAsia"/>
          <w:sz w:val="28"/>
          <w:szCs w:val="28"/>
        </w:rPr>
        <w:t>，</w:t>
      </w:r>
      <w:r w:rsidRPr="00F5515B">
        <w:rPr>
          <w:sz w:val="28"/>
          <w:szCs w:val="28"/>
        </w:rPr>
        <w:t>包括卒中救治资源分配</w:t>
      </w:r>
      <w:r w:rsidRPr="00F5515B">
        <w:rPr>
          <w:rFonts w:hint="eastAsia"/>
          <w:sz w:val="28"/>
          <w:szCs w:val="28"/>
        </w:rPr>
        <w:t>、</w:t>
      </w:r>
      <w:r w:rsidRPr="00F5515B">
        <w:rPr>
          <w:sz w:val="28"/>
          <w:szCs w:val="28"/>
        </w:rPr>
        <w:t>远程会诊</w:t>
      </w:r>
      <w:r w:rsidRPr="00F5515B">
        <w:rPr>
          <w:rFonts w:hint="eastAsia"/>
          <w:sz w:val="28"/>
          <w:szCs w:val="28"/>
        </w:rPr>
        <w:t>、</w:t>
      </w:r>
      <w:r w:rsidR="00183C72" w:rsidRPr="00F5515B">
        <w:rPr>
          <w:rFonts w:hint="eastAsia"/>
          <w:sz w:val="28"/>
          <w:szCs w:val="28"/>
        </w:rPr>
        <w:t>转诊管理、</w:t>
      </w:r>
      <w:r w:rsidRPr="00F5515B">
        <w:rPr>
          <w:sz w:val="28"/>
          <w:szCs w:val="28"/>
        </w:rPr>
        <w:t>卒中数据管理及质控管理等</w:t>
      </w:r>
      <w:r w:rsidRPr="00F5515B">
        <w:rPr>
          <w:rFonts w:hint="eastAsia"/>
          <w:sz w:val="28"/>
          <w:szCs w:val="28"/>
        </w:rPr>
        <w:t>。</w:t>
      </w:r>
    </w:p>
    <w:p w:rsidR="002165DB" w:rsidRPr="00F5515B" w:rsidRDefault="00321040" w:rsidP="002165DB">
      <w:pPr>
        <w:ind w:firstLineChars="200" w:firstLine="562"/>
        <w:rPr>
          <w:b/>
          <w:sz w:val="28"/>
          <w:szCs w:val="28"/>
        </w:rPr>
      </w:pPr>
      <w:r w:rsidRPr="00F5515B">
        <w:rPr>
          <w:b/>
          <w:sz w:val="28"/>
          <w:szCs w:val="28"/>
        </w:rPr>
        <w:t>规划</w:t>
      </w:r>
      <w:r w:rsidRPr="00F5515B">
        <w:rPr>
          <w:rFonts w:hint="eastAsia"/>
          <w:b/>
          <w:sz w:val="28"/>
          <w:szCs w:val="28"/>
        </w:rPr>
        <w:t>：</w:t>
      </w:r>
    </w:p>
    <w:p w:rsidR="002165DB" w:rsidRPr="00F5515B" w:rsidRDefault="002165DB" w:rsidP="002165DB">
      <w:pPr>
        <w:ind w:firstLineChars="200" w:firstLine="562"/>
        <w:rPr>
          <w:sz w:val="28"/>
          <w:szCs w:val="28"/>
        </w:rPr>
      </w:pPr>
      <w:r w:rsidRPr="00F5515B">
        <w:rPr>
          <w:rFonts w:hint="eastAsia"/>
          <w:b/>
          <w:sz w:val="28"/>
          <w:szCs w:val="28"/>
        </w:rPr>
        <w:t>以</w:t>
      </w:r>
      <w:r w:rsidRPr="00F5515B">
        <w:rPr>
          <w:rFonts w:hint="eastAsia"/>
          <w:b/>
          <w:sz w:val="28"/>
          <w:szCs w:val="28"/>
        </w:rPr>
        <w:t>1</w:t>
      </w:r>
      <w:r w:rsidRPr="00F5515B">
        <w:rPr>
          <w:b/>
          <w:sz w:val="28"/>
          <w:szCs w:val="28"/>
        </w:rPr>
        <w:t>20</w:t>
      </w:r>
      <w:r w:rsidRPr="00F5515B">
        <w:rPr>
          <w:b/>
          <w:sz w:val="28"/>
          <w:szCs w:val="28"/>
        </w:rPr>
        <w:t>急救中心及各级医院急诊科为核心</w:t>
      </w:r>
      <w:r w:rsidRPr="00F5515B">
        <w:rPr>
          <w:rFonts w:hint="eastAsia"/>
          <w:b/>
          <w:sz w:val="28"/>
          <w:szCs w:val="28"/>
        </w:rPr>
        <w:t>，</w:t>
      </w:r>
      <w:r w:rsidRPr="00F5515B">
        <w:rPr>
          <w:b/>
          <w:sz w:val="28"/>
          <w:szCs w:val="28"/>
        </w:rPr>
        <w:t>协调卒中救治资源</w:t>
      </w:r>
      <w:r w:rsidRPr="00F5515B">
        <w:rPr>
          <w:rFonts w:hint="eastAsia"/>
          <w:b/>
          <w:sz w:val="28"/>
          <w:szCs w:val="28"/>
        </w:rPr>
        <w:t>：</w:t>
      </w:r>
      <w:r w:rsidRPr="00F5515B">
        <w:rPr>
          <w:rFonts w:hint="eastAsia"/>
          <w:sz w:val="28"/>
          <w:szCs w:val="28"/>
        </w:rPr>
        <w:t>在</w:t>
      </w:r>
      <w:r w:rsidRPr="00F5515B">
        <w:rPr>
          <w:rFonts w:hint="eastAsia"/>
          <w:sz w:val="28"/>
          <w:szCs w:val="28"/>
        </w:rPr>
        <w:t>1</w:t>
      </w:r>
      <w:r w:rsidRPr="00F5515B">
        <w:rPr>
          <w:sz w:val="28"/>
          <w:szCs w:val="28"/>
        </w:rPr>
        <w:t>20</w:t>
      </w:r>
      <w:r w:rsidRPr="00F5515B">
        <w:rPr>
          <w:sz w:val="28"/>
          <w:szCs w:val="28"/>
        </w:rPr>
        <w:t>救护车及各级急诊科抢救室配置移动智能设备</w:t>
      </w:r>
      <w:r w:rsidRPr="00F5515B">
        <w:rPr>
          <w:rFonts w:hint="eastAsia"/>
          <w:sz w:val="28"/>
          <w:szCs w:val="28"/>
        </w:rPr>
        <w:t>，</w:t>
      </w:r>
      <w:r w:rsidRPr="00F5515B">
        <w:rPr>
          <w:sz w:val="28"/>
          <w:szCs w:val="28"/>
        </w:rPr>
        <w:t>接诊疑似卒中患者后将患者基本情况</w:t>
      </w:r>
      <w:r w:rsidRPr="00F5515B">
        <w:rPr>
          <w:rFonts w:hint="eastAsia"/>
          <w:sz w:val="28"/>
          <w:szCs w:val="28"/>
        </w:rPr>
        <w:t>、</w:t>
      </w:r>
      <w:r w:rsidRPr="00F5515B">
        <w:rPr>
          <w:sz w:val="28"/>
          <w:szCs w:val="28"/>
        </w:rPr>
        <w:t>生命体征等情况及时上传平台</w:t>
      </w:r>
      <w:r w:rsidRPr="00F5515B">
        <w:rPr>
          <w:rFonts w:hint="eastAsia"/>
          <w:sz w:val="28"/>
          <w:szCs w:val="28"/>
        </w:rPr>
        <w:t>，</w:t>
      </w:r>
      <w:r w:rsidRPr="00F5515B">
        <w:rPr>
          <w:sz w:val="28"/>
          <w:szCs w:val="28"/>
        </w:rPr>
        <w:t>需行静脉溶栓或动脉取</w:t>
      </w:r>
      <w:proofErr w:type="gramStart"/>
      <w:r w:rsidRPr="00F5515B">
        <w:rPr>
          <w:sz w:val="28"/>
          <w:szCs w:val="28"/>
        </w:rPr>
        <w:t>栓</w:t>
      </w:r>
      <w:proofErr w:type="gramEnd"/>
      <w:r w:rsidRPr="00F5515B">
        <w:rPr>
          <w:sz w:val="28"/>
          <w:szCs w:val="28"/>
        </w:rPr>
        <w:t>的患者及时由中心调度至有资质</w:t>
      </w:r>
      <w:r w:rsidRPr="00F5515B">
        <w:rPr>
          <w:rFonts w:hint="eastAsia"/>
          <w:sz w:val="28"/>
          <w:szCs w:val="28"/>
        </w:rPr>
        <w:t>能力接收的中心；</w:t>
      </w:r>
    </w:p>
    <w:p w:rsidR="002165DB" w:rsidRPr="00F5515B" w:rsidRDefault="002165DB" w:rsidP="00183C72">
      <w:pPr>
        <w:ind w:firstLineChars="200" w:firstLine="562"/>
        <w:rPr>
          <w:sz w:val="28"/>
          <w:szCs w:val="28"/>
        </w:rPr>
      </w:pPr>
      <w:r w:rsidRPr="00F5515B">
        <w:rPr>
          <w:b/>
          <w:sz w:val="28"/>
          <w:szCs w:val="28"/>
        </w:rPr>
        <w:t>组建会诊专家团队</w:t>
      </w:r>
      <w:r w:rsidRPr="00F5515B">
        <w:rPr>
          <w:rFonts w:hint="eastAsia"/>
          <w:b/>
          <w:sz w:val="28"/>
          <w:szCs w:val="28"/>
        </w:rPr>
        <w:t>，</w:t>
      </w:r>
      <w:proofErr w:type="gramStart"/>
      <w:r w:rsidRPr="00F5515B">
        <w:rPr>
          <w:b/>
          <w:sz w:val="28"/>
          <w:szCs w:val="28"/>
        </w:rPr>
        <w:t>实现线</w:t>
      </w:r>
      <w:proofErr w:type="gramEnd"/>
      <w:r w:rsidRPr="00F5515B">
        <w:rPr>
          <w:b/>
          <w:sz w:val="28"/>
          <w:szCs w:val="28"/>
        </w:rPr>
        <w:t>上远程会诊</w:t>
      </w:r>
      <w:r w:rsidRPr="00F5515B">
        <w:rPr>
          <w:rFonts w:hint="eastAsia"/>
          <w:b/>
          <w:sz w:val="28"/>
          <w:szCs w:val="28"/>
        </w:rPr>
        <w:t>：</w:t>
      </w:r>
      <w:r w:rsidRPr="00F5515B">
        <w:rPr>
          <w:sz w:val="28"/>
          <w:szCs w:val="28"/>
        </w:rPr>
        <w:t>以高级卒中中心专家为班底组建会诊专家团队</w:t>
      </w:r>
      <w:r w:rsidRPr="00F5515B">
        <w:rPr>
          <w:rFonts w:hint="eastAsia"/>
          <w:sz w:val="28"/>
          <w:szCs w:val="28"/>
        </w:rPr>
        <w:t>，各级医院接诊卒中患者后自动将患者信息导入平台，包括患者个人基本信息、病史资料、查体、用药情况、</w:t>
      </w:r>
      <w:r w:rsidR="00183C72" w:rsidRPr="00F5515B">
        <w:rPr>
          <w:rFonts w:hint="eastAsia"/>
          <w:sz w:val="28"/>
          <w:szCs w:val="28"/>
        </w:rPr>
        <w:t>检验结果、检查结果及影像图片等，专家团队</w:t>
      </w:r>
      <w:r w:rsidRPr="00F5515B">
        <w:rPr>
          <w:sz w:val="28"/>
          <w:szCs w:val="28"/>
        </w:rPr>
        <w:t>通过移动智能设备</w:t>
      </w:r>
      <w:r w:rsidR="00183C72" w:rsidRPr="00F5515B">
        <w:rPr>
          <w:sz w:val="28"/>
          <w:szCs w:val="28"/>
        </w:rPr>
        <w:t>可自行查阅</w:t>
      </w:r>
      <w:r w:rsidR="00183C72" w:rsidRPr="00F5515B">
        <w:rPr>
          <w:rFonts w:hint="eastAsia"/>
          <w:sz w:val="28"/>
          <w:szCs w:val="28"/>
        </w:rPr>
        <w:t>，</w:t>
      </w:r>
      <w:r w:rsidR="00DC50AE" w:rsidRPr="00F5515B">
        <w:rPr>
          <w:rFonts w:hint="eastAsia"/>
          <w:sz w:val="28"/>
          <w:szCs w:val="28"/>
        </w:rPr>
        <w:t>双方可通过文字、语言或视频等方式进行互动沟通，</w:t>
      </w:r>
      <w:r w:rsidR="00183C72" w:rsidRPr="00F5515B">
        <w:rPr>
          <w:sz w:val="28"/>
          <w:szCs w:val="28"/>
        </w:rPr>
        <w:t>并远程进行指导</w:t>
      </w:r>
      <w:r w:rsidR="00183C72" w:rsidRPr="00F5515B">
        <w:rPr>
          <w:rFonts w:hint="eastAsia"/>
          <w:sz w:val="28"/>
          <w:szCs w:val="28"/>
        </w:rPr>
        <w:t>，</w:t>
      </w:r>
      <w:r w:rsidR="00183C72" w:rsidRPr="00F5515B">
        <w:rPr>
          <w:sz w:val="28"/>
          <w:szCs w:val="28"/>
        </w:rPr>
        <w:t>包括静脉溶栓指导</w:t>
      </w:r>
      <w:r w:rsidR="00183C72" w:rsidRPr="00F5515B">
        <w:rPr>
          <w:rFonts w:hint="eastAsia"/>
          <w:sz w:val="28"/>
          <w:szCs w:val="28"/>
        </w:rPr>
        <w:t>、</w:t>
      </w:r>
      <w:r w:rsidR="00183C72" w:rsidRPr="00F5515B">
        <w:rPr>
          <w:sz w:val="28"/>
          <w:szCs w:val="28"/>
        </w:rPr>
        <w:t>血管评价指导</w:t>
      </w:r>
      <w:r w:rsidR="00183C72" w:rsidRPr="00F5515B">
        <w:rPr>
          <w:rFonts w:hint="eastAsia"/>
          <w:sz w:val="28"/>
          <w:szCs w:val="28"/>
        </w:rPr>
        <w:t>、</w:t>
      </w:r>
      <w:r w:rsidR="00183C72" w:rsidRPr="00F5515B">
        <w:rPr>
          <w:sz w:val="28"/>
          <w:szCs w:val="28"/>
        </w:rPr>
        <w:t>二级预防用药指导</w:t>
      </w:r>
      <w:r w:rsidR="00183C72" w:rsidRPr="00F5515B">
        <w:rPr>
          <w:rFonts w:hint="eastAsia"/>
          <w:sz w:val="28"/>
          <w:szCs w:val="28"/>
        </w:rPr>
        <w:t>、转诊指导、康复计划指导等；必要时可现场指导手术开展（如动脉取</w:t>
      </w:r>
      <w:proofErr w:type="gramStart"/>
      <w:r w:rsidR="00183C72" w:rsidRPr="00F5515B">
        <w:rPr>
          <w:rFonts w:hint="eastAsia"/>
          <w:sz w:val="28"/>
          <w:szCs w:val="28"/>
        </w:rPr>
        <w:t>栓</w:t>
      </w:r>
      <w:proofErr w:type="gramEnd"/>
      <w:r w:rsidR="00183C72" w:rsidRPr="00F5515B">
        <w:rPr>
          <w:rFonts w:hint="eastAsia"/>
          <w:sz w:val="28"/>
          <w:szCs w:val="28"/>
        </w:rPr>
        <w:t>、颈动脉支架植入、脑出血血肿清除等）。</w:t>
      </w:r>
    </w:p>
    <w:p w:rsidR="00183C72" w:rsidRPr="00F5515B" w:rsidRDefault="00183C72" w:rsidP="00183C72">
      <w:pPr>
        <w:ind w:firstLineChars="200" w:firstLine="562"/>
        <w:rPr>
          <w:sz w:val="28"/>
          <w:szCs w:val="28"/>
        </w:rPr>
      </w:pPr>
      <w:r w:rsidRPr="00F5515B">
        <w:rPr>
          <w:b/>
          <w:sz w:val="28"/>
          <w:szCs w:val="28"/>
        </w:rPr>
        <w:t>共享患者信息</w:t>
      </w:r>
      <w:r w:rsidRPr="00F5515B">
        <w:rPr>
          <w:rFonts w:hint="eastAsia"/>
          <w:b/>
          <w:sz w:val="28"/>
          <w:szCs w:val="28"/>
        </w:rPr>
        <w:t>，</w:t>
      </w:r>
      <w:r w:rsidRPr="00F5515B">
        <w:rPr>
          <w:b/>
          <w:sz w:val="28"/>
          <w:szCs w:val="28"/>
        </w:rPr>
        <w:t>实现良性上下转</w:t>
      </w:r>
      <w:r w:rsidRPr="00F5515B">
        <w:rPr>
          <w:rFonts w:hint="eastAsia"/>
          <w:b/>
          <w:sz w:val="28"/>
          <w:szCs w:val="28"/>
        </w:rPr>
        <w:t>：</w:t>
      </w:r>
      <w:r w:rsidRPr="00F5515B">
        <w:rPr>
          <w:sz w:val="28"/>
          <w:szCs w:val="28"/>
        </w:rPr>
        <w:t>卒中患者信息统一导入平台管理</w:t>
      </w:r>
      <w:r w:rsidRPr="00F5515B">
        <w:rPr>
          <w:rFonts w:hint="eastAsia"/>
          <w:sz w:val="28"/>
          <w:szCs w:val="28"/>
        </w:rPr>
        <w:t>，首诊</w:t>
      </w:r>
      <w:r w:rsidRPr="00F5515B">
        <w:rPr>
          <w:sz w:val="28"/>
          <w:szCs w:val="28"/>
        </w:rPr>
        <w:t>医院接诊患者后如无能力</w:t>
      </w:r>
      <w:r w:rsidRPr="00F5515B">
        <w:rPr>
          <w:rFonts w:hint="eastAsia"/>
          <w:sz w:val="28"/>
          <w:szCs w:val="28"/>
        </w:rPr>
        <w:t>进一步</w:t>
      </w:r>
      <w:r w:rsidR="00C813FA" w:rsidRPr="00F5515B">
        <w:rPr>
          <w:sz w:val="28"/>
          <w:szCs w:val="28"/>
        </w:rPr>
        <w:t>接收治疗</w:t>
      </w:r>
      <w:r w:rsidR="00C813FA" w:rsidRPr="00F5515B">
        <w:rPr>
          <w:rFonts w:hint="eastAsia"/>
          <w:sz w:val="28"/>
          <w:szCs w:val="28"/>
        </w:rPr>
        <w:t>，</w:t>
      </w:r>
      <w:r w:rsidR="00C813FA" w:rsidRPr="00F5515B">
        <w:rPr>
          <w:sz w:val="28"/>
          <w:szCs w:val="28"/>
        </w:rPr>
        <w:t>经专家团队在平台查阅信息并会诊评估后</w:t>
      </w:r>
      <w:r w:rsidR="00C813FA" w:rsidRPr="00F5515B">
        <w:rPr>
          <w:rFonts w:hint="eastAsia"/>
          <w:sz w:val="28"/>
          <w:szCs w:val="28"/>
        </w:rPr>
        <w:t>，</w:t>
      </w:r>
      <w:r w:rsidR="00C813FA" w:rsidRPr="00F5515B">
        <w:rPr>
          <w:sz w:val="28"/>
          <w:szCs w:val="28"/>
        </w:rPr>
        <w:t>可迅速转诊至上级医院接受</w:t>
      </w:r>
      <w:r w:rsidR="00C813FA" w:rsidRPr="00F5515B">
        <w:rPr>
          <w:rFonts w:hint="eastAsia"/>
          <w:sz w:val="28"/>
          <w:szCs w:val="28"/>
        </w:rPr>
        <w:t>救</w:t>
      </w:r>
      <w:r w:rsidR="00C813FA" w:rsidRPr="00F5515B">
        <w:rPr>
          <w:sz w:val="28"/>
          <w:szCs w:val="28"/>
        </w:rPr>
        <w:t>治</w:t>
      </w:r>
      <w:r w:rsidR="00C813FA" w:rsidRPr="00F5515B">
        <w:rPr>
          <w:rFonts w:hint="eastAsia"/>
          <w:sz w:val="28"/>
          <w:szCs w:val="28"/>
        </w:rPr>
        <w:t>，</w:t>
      </w:r>
      <w:r w:rsidR="00C813FA" w:rsidRPr="00F5515B">
        <w:rPr>
          <w:sz w:val="28"/>
          <w:szCs w:val="28"/>
        </w:rPr>
        <w:t>减少患者在多家医院反复多次进行不必要的检查</w:t>
      </w:r>
      <w:r w:rsidR="00C813FA" w:rsidRPr="00F5515B">
        <w:rPr>
          <w:rFonts w:hint="eastAsia"/>
          <w:sz w:val="28"/>
          <w:szCs w:val="28"/>
        </w:rPr>
        <w:t>，</w:t>
      </w:r>
      <w:r w:rsidR="00C813FA" w:rsidRPr="00F5515B">
        <w:rPr>
          <w:sz w:val="28"/>
          <w:szCs w:val="28"/>
        </w:rPr>
        <w:t>减少医疗资源的耗费</w:t>
      </w:r>
      <w:r w:rsidR="00C813FA" w:rsidRPr="00F5515B">
        <w:rPr>
          <w:rFonts w:hint="eastAsia"/>
          <w:sz w:val="28"/>
          <w:szCs w:val="28"/>
        </w:rPr>
        <w:t>，</w:t>
      </w:r>
      <w:r w:rsidR="00C813FA" w:rsidRPr="00F5515B">
        <w:rPr>
          <w:sz w:val="28"/>
          <w:szCs w:val="28"/>
        </w:rPr>
        <w:t>缩短早期转诊延误时间</w:t>
      </w:r>
      <w:r w:rsidR="00C813FA" w:rsidRPr="00F5515B">
        <w:rPr>
          <w:rFonts w:hint="eastAsia"/>
          <w:sz w:val="28"/>
          <w:szCs w:val="28"/>
        </w:rPr>
        <w:t>，</w:t>
      </w:r>
      <w:r w:rsidR="00C813FA" w:rsidRPr="00F5515B">
        <w:rPr>
          <w:sz w:val="28"/>
          <w:szCs w:val="28"/>
        </w:rPr>
        <w:t>减少不同医生多次交接导致的信息传递错误</w:t>
      </w:r>
      <w:r w:rsidR="00C813FA" w:rsidRPr="00F5515B">
        <w:rPr>
          <w:rFonts w:hint="eastAsia"/>
          <w:sz w:val="28"/>
          <w:szCs w:val="28"/>
        </w:rPr>
        <w:t>；</w:t>
      </w:r>
      <w:r w:rsidR="00C813FA" w:rsidRPr="00F5515B">
        <w:rPr>
          <w:sz w:val="28"/>
          <w:szCs w:val="28"/>
        </w:rPr>
        <w:lastRenderedPageBreak/>
        <w:t>经上级医院治疗稳定后可转下级医院进一步康复治疗</w:t>
      </w:r>
      <w:r w:rsidR="00C813FA" w:rsidRPr="00F5515B">
        <w:rPr>
          <w:rFonts w:hint="eastAsia"/>
          <w:sz w:val="28"/>
          <w:szCs w:val="28"/>
        </w:rPr>
        <w:t>，</w:t>
      </w:r>
      <w:r w:rsidR="00C813FA" w:rsidRPr="00F5515B">
        <w:rPr>
          <w:sz w:val="28"/>
          <w:szCs w:val="28"/>
        </w:rPr>
        <w:t>下级医院可通过平台了解患者情况</w:t>
      </w:r>
      <w:r w:rsidR="00C813FA" w:rsidRPr="00F5515B">
        <w:rPr>
          <w:rFonts w:hint="eastAsia"/>
          <w:sz w:val="28"/>
          <w:szCs w:val="28"/>
        </w:rPr>
        <w:t>，</w:t>
      </w:r>
      <w:r w:rsidR="00C813FA" w:rsidRPr="00F5515B">
        <w:rPr>
          <w:sz w:val="28"/>
          <w:szCs w:val="28"/>
        </w:rPr>
        <w:t>评估是否有能力接收</w:t>
      </w:r>
      <w:r w:rsidR="00F5515B">
        <w:rPr>
          <w:rFonts w:hint="eastAsia"/>
          <w:sz w:val="28"/>
          <w:szCs w:val="28"/>
        </w:rPr>
        <w:t>；</w:t>
      </w:r>
      <w:r w:rsidR="00F5515B" w:rsidRPr="00F5515B">
        <w:rPr>
          <w:rFonts w:hint="eastAsia"/>
          <w:sz w:val="28"/>
          <w:szCs w:val="28"/>
        </w:rPr>
        <w:t>基层医疗机构可参考上级单位用药及随访建议对患者进行管理</w:t>
      </w:r>
      <w:r w:rsidR="00C813FA" w:rsidRPr="00F5515B">
        <w:rPr>
          <w:rFonts w:hint="eastAsia"/>
          <w:sz w:val="28"/>
          <w:szCs w:val="28"/>
        </w:rPr>
        <w:t>。</w:t>
      </w:r>
    </w:p>
    <w:p w:rsidR="00C813FA" w:rsidRPr="00F5515B" w:rsidRDefault="00C813FA" w:rsidP="00183C72">
      <w:pPr>
        <w:ind w:firstLineChars="200" w:firstLine="562"/>
        <w:rPr>
          <w:sz w:val="28"/>
          <w:szCs w:val="28"/>
        </w:rPr>
      </w:pPr>
      <w:r w:rsidRPr="00F5515B">
        <w:rPr>
          <w:b/>
          <w:sz w:val="28"/>
          <w:szCs w:val="28"/>
        </w:rPr>
        <w:t>卒中数据</w:t>
      </w:r>
      <w:r w:rsidRPr="00F5515B">
        <w:rPr>
          <w:rFonts w:hint="eastAsia"/>
          <w:b/>
          <w:sz w:val="28"/>
          <w:szCs w:val="28"/>
        </w:rPr>
        <w:t>、</w:t>
      </w:r>
      <w:r w:rsidRPr="00F5515B">
        <w:rPr>
          <w:b/>
          <w:sz w:val="28"/>
          <w:szCs w:val="28"/>
        </w:rPr>
        <w:t>健康随访数据统一管理</w:t>
      </w:r>
      <w:r w:rsidRPr="00F5515B">
        <w:rPr>
          <w:rFonts w:hint="eastAsia"/>
          <w:b/>
          <w:sz w:val="28"/>
          <w:szCs w:val="28"/>
        </w:rPr>
        <w:t>，</w:t>
      </w:r>
      <w:r w:rsidRPr="00F5515B">
        <w:rPr>
          <w:sz w:val="28"/>
          <w:szCs w:val="28"/>
        </w:rPr>
        <w:t>定期质控</w:t>
      </w:r>
      <w:r w:rsidRPr="00F5515B">
        <w:rPr>
          <w:rFonts w:hint="eastAsia"/>
          <w:sz w:val="28"/>
          <w:szCs w:val="28"/>
        </w:rPr>
        <w:t>；</w:t>
      </w:r>
      <w:r w:rsidRPr="00F5515B">
        <w:rPr>
          <w:sz w:val="28"/>
          <w:szCs w:val="28"/>
        </w:rPr>
        <w:t>建立实时信息平台</w:t>
      </w:r>
      <w:r w:rsidRPr="00F5515B">
        <w:rPr>
          <w:rFonts w:hint="eastAsia"/>
          <w:sz w:val="28"/>
          <w:szCs w:val="28"/>
        </w:rPr>
        <w:t>，</w:t>
      </w:r>
      <w:r w:rsidRPr="00F5515B">
        <w:rPr>
          <w:sz w:val="28"/>
          <w:szCs w:val="28"/>
        </w:rPr>
        <w:t>统一采集各医院</w:t>
      </w:r>
      <w:r w:rsidR="00DC50AE" w:rsidRPr="00F5515B">
        <w:rPr>
          <w:sz w:val="28"/>
          <w:szCs w:val="28"/>
        </w:rPr>
        <w:t>卒中患者或卒中高危人群信息</w:t>
      </w:r>
      <w:r w:rsidR="00DC50AE" w:rsidRPr="00F5515B">
        <w:rPr>
          <w:rFonts w:hint="eastAsia"/>
          <w:sz w:val="28"/>
          <w:szCs w:val="28"/>
        </w:rPr>
        <w:t>，出院患者可动态追踪患者去向及用药情况；对于卒中高危人员可自动推送健康管理方式及随访复查建议；各中心卒中数据，包括绿色通道时间节点、治疗措施、随访情况等，可通过平台汇总，定期形成质控报告。</w:t>
      </w:r>
    </w:p>
    <w:p w:rsidR="00DC50AE" w:rsidRPr="00F5515B" w:rsidRDefault="00DC50AE" w:rsidP="00183C72">
      <w:pPr>
        <w:ind w:firstLineChars="200" w:firstLine="560"/>
        <w:rPr>
          <w:sz w:val="28"/>
          <w:szCs w:val="28"/>
        </w:rPr>
      </w:pPr>
    </w:p>
    <w:p w:rsidR="00DC50AE" w:rsidRDefault="00DC50AE" w:rsidP="00183C72">
      <w:pPr>
        <w:ind w:firstLineChars="200" w:firstLine="560"/>
        <w:rPr>
          <w:sz w:val="28"/>
          <w:szCs w:val="28"/>
        </w:rPr>
      </w:pPr>
      <w:r w:rsidRPr="00F5515B">
        <w:rPr>
          <w:sz w:val="28"/>
          <w:szCs w:val="28"/>
        </w:rPr>
        <w:t>总体上</w:t>
      </w:r>
      <w:r w:rsidRPr="00F5515B">
        <w:rPr>
          <w:rFonts w:hint="eastAsia"/>
          <w:sz w:val="28"/>
          <w:szCs w:val="28"/>
        </w:rPr>
        <w:t>，</w:t>
      </w:r>
      <w:r w:rsidRPr="00F5515B">
        <w:rPr>
          <w:sz w:val="28"/>
          <w:szCs w:val="28"/>
        </w:rPr>
        <w:t>搭建一个全面覆盖市内各级医疗机构卒中患者信息的管理平台</w:t>
      </w:r>
      <w:r w:rsidRPr="00F5515B">
        <w:rPr>
          <w:rFonts w:hint="eastAsia"/>
          <w:sz w:val="28"/>
          <w:szCs w:val="28"/>
        </w:rPr>
        <w:t>，实现多渠道沟通</w:t>
      </w:r>
      <w:r w:rsidR="00425F63" w:rsidRPr="00F5515B">
        <w:rPr>
          <w:rFonts w:hint="eastAsia"/>
          <w:sz w:val="28"/>
          <w:szCs w:val="28"/>
        </w:rPr>
        <w:t>互动及信息共享，提高全市卒中救治能力，覆盖卒中全流程管理，保障卒中恢复期治疗的延续性。</w:t>
      </w:r>
    </w:p>
    <w:p w:rsidR="00DA186F" w:rsidRDefault="00DA186F" w:rsidP="00DA186F">
      <w:pPr>
        <w:pStyle w:val="2"/>
        <w:spacing w:line="360" w:lineRule="auto"/>
        <w:rPr>
          <w:rFonts w:ascii="宋体" w:eastAsia="宋体" w:hAnsi="宋体"/>
          <w:sz w:val="24"/>
          <w:szCs w:val="24"/>
        </w:rPr>
      </w:pPr>
      <w:bookmarkStart w:id="0" w:name="_Toc143509617"/>
      <w:r>
        <w:rPr>
          <w:rFonts w:ascii="宋体" w:eastAsia="宋体" w:hAnsi="宋体" w:hint="eastAsia"/>
          <w:sz w:val="24"/>
          <w:szCs w:val="24"/>
        </w:rPr>
        <w:t>商务需求</w:t>
      </w:r>
      <w:bookmarkEnd w:id="0"/>
    </w:p>
    <w:p w:rsidR="00DA186F" w:rsidRPr="00CF03F7" w:rsidRDefault="00DA186F" w:rsidP="00DA186F">
      <w:pPr>
        <w:spacing w:line="360" w:lineRule="auto"/>
        <w:rPr>
          <w:rFonts w:ascii="宋体" w:hAnsi="宋体"/>
        </w:rPr>
      </w:pPr>
      <w:r w:rsidRPr="00CF03F7">
        <w:rPr>
          <w:rFonts w:ascii="宋体" w:hAnsi="宋体"/>
        </w:rPr>
        <w:t>1.</w:t>
      </w:r>
      <w:r w:rsidRPr="00CF03F7">
        <w:rPr>
          <w:rFonts w:ascii="宋体" w:hAnsi="宋体"/>
        </w:rPr>
        <w:tab/>
        <w:t>项目基本要求</w:t>
      </w:r>
    </w:p>
    <w:p w:rsidR="00DA186F" w:rsidRPr="00CF03F7" w:rsidRDefault="00DA186F" w:rsidP="00DA186F">
      <w:pPr>
        <w:spacing w:line="360" w:lineRule="auto"/>
        <w:rPr>
          <w:rFonts w:ascii="宋体" w:hAnsi="宋体"/>
        </w:rPr>
      </w:pPr>
      <w:r w:rsidRPr="00CF03F7">
        <w:rPr>
          <w:rFonts w:ascii="宋体" w:hAnsi="宋体"/>
        </w:rPr>
        <w:t>1.1 投标人提供产品应满足如下标准：</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1）《电子病历系统功能应用水平分级评价方法及标准》六级以上</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2）《医院信息互联互通标准化成熟度测评方案》四级甲等以上</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3）《医院智慧服务分级评估标准体系》三级以上</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4）《医院智慧管理分级评估标准体系》三级以上</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5）</w:t>
      </w:r>
      <w:bookmarkStart w:id="1" w:name="_GoBack"/>
      <w:r w:rsidRPr="00CF03F7">
        <w:rPr>
          <w:rFonts w:ascii="宋体" w:hAnsi="宋体"/>
        </w:rPr>
        <w:t>《信息安全技术网络安全等级保护基本要求》三级</w:t>
      </w:r>
    </w:p>
    <w:bookmarkEnd w:id="1"/>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6）《医院信息系统基本功能规范》</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7）《中医医院信息系统基本功能规范》</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8）《全国医院信息化建设标准与规范》</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9）《卫生系统电子认证服务规范》</w:t>
      </w:r>
    </w:p>
    <w:p w:rsidR="00DA186F" w:rsidRPr="00CF03F7" w:rsidRDefault="00DA186F" w:rsidP="00DA186F">
      <w:pPr>
        <w:spacing w:line="360" w:lineRule="auto"/>
        <w:rPr>
          <w:rFonts w:ascii="宋体" w:hAnsi="宋体"/>
        </w:rPr>
      </w:pPr>
      <w:r w:rsidRPr="00CF03F7">
        <w:rPr>
          <w:rFonts w:ascii="宋体" w:hAnsi="宋体" w:hint="eastAsia"/>
        </w:rPr>
        <w:lastRenderedPageBreak/>
        <w:t>（</w:t>
      </w:r>
      <w:r w:rsidRPr="00CF03F7">
        <w:rPr>
          <w:rFonts w:ascii="宋体" w:hAnsi="宋体"/>
        </w:rPr>
        <w:t>10）《三级中医医院评审标准》</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11）《信息安全技术个人信息安全规范》</w:t>
      </w:r>
    </w:p>
    <w:p w:rsidR="00DA186F" w:rsidRPr="00CF03F7" w:rsidRDefault="00DA186F" w:rsidP="00DA186F">
      <w:pPr>
        <w:spacing w:line="360" w:lineRule="auto"/>
        <w:rPr>
          <w:rFonts w:ascii="宋体" w:hAnsi="宋体"/>
        </w:rPr>
      </w:pPr>
      <w:r w:rsidRPr="00CF03F7">
        <w:rPr>
          <w:rFonts w:ascii="宋体" w:hAnsi="宋体"/>
        </w:rPr>
        <w:t>1.2 投标人需无条件配合采购人智慧医院信息化建设，智慧医院信息化建设目标为通过专家评审获得相应级别的评价，相关标准和级别如下：</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1）电子病历系统功能应用水平分级评价方法及标准（六级）</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2）医院信息互联互通标准化成熟度测评（四甲）</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3）医院智慧服务分级评估标准（三级）</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4）医院智慧管理分级评估标准（三级）</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5）信息安全技术网络安全等级保护基本要求（三级）</w:t>
      </w:r>
    </w:p>
    <w:p w:rsidR="00DA186F" w:rsidRPr="00DA186F" w:rsidRDefault="00DA186F" w:rsidP="00DA186F">
      <w:pPr>
        <w:spacing w:line="360" w:lineRule="auto"/>
        <w:jc w:val="left"/>
        <w:rPr>
          <w:rFonts w:ascii="宋体" w:hAnsi="宋体" w:cs="宋体"/>
          <w:kern w:val="0"/>
        </w:rPr>
      </w:pPr>
    </w:p>
    <w:p w:rsidR="00DA186F" w:rsidRDefault="00932022" w:rsidP="00DA186F">
      <w:pPr>
        <w:spacing w:line="360" w:lineRule="auto"/>
        <w:jc w:val="left"/>
        <w:rPr>
          <w:rFonts w:ascii="宋体" w:hAnsi="宋体" w:cs="宋体"/>
          <w:kern w:val="0"/>
        </w:rPr>
      </w:pPr>
      <w:r>
        <w:rPr>
          <w:rFonts w:ascii="宋体" w:hAnsi="宋体" w:cs="宋体" w:hint="eastAsia"/>
          <w:kern w:val="0"/>
        </w:rPr>
        <w:t>2</w:t>
      </w:r>
      <w:r w:rsidR="00DA186F">
        <w:rPr>
          <w:rFonts w:ascii="宋体" w:hAnsi="宋体" w:cs="宋体" w:hint="eastAsia"/>
          <w:kern w:val="0"/>
        </w:rPr>
        <w:t>.总体要求</w:t>
      </w:r>
    </w:p>
    <w:p w:rsidR="00DA186F" w:rsidRDefault="00DA186F" w:rsidP="00DA186F">
      <w:pPr>
        <w:spacing w:line="360" w:lineRule="auto"/>
        <w:jc w:val="left"/>
        <w:rPr>
          <w:rFonts w:ascii="宋体" w:hAnsi="宋体" w:cs="宋体"/>
          <w:kern w:val="0"/>
        </w:rPr>
      </w:pPr>
      <w:r>
        <w:rPr>
          <w:rFonts w:ascii="宋体" w:hAnsi="宋体" w:cs="宋体" w:hint="eastAsia"/>
          <w:kern w:val="0"/>
        </w:rPr>
        <w:t>（1）工期：合同签订后</w:t>
      </w:r>
      <w:r w:rsidRPr="00932022">
        <w:rPr>
          <w:rFonts w:ascii="宋体" w:hAnsi="宋体" w:cs="宋体" w:hint="eastAsia"/>
          <w:kern w:val="0"/>
          <w:highlight w:val="yellow"/>
        </w:rPr>
        <w:t>90</w:t>
      </w:r>
      <w:r>
        <w:rPr>
          <w:rFonts w:ascii="宋体" w:hAnsi="宋体" w:cs="宋体" w:hint="eastAsia"/>
          <w:kern w:val="0"/>
        </w:rPr>
        <w:t>个工作日内完成系统所有功能上线测试</w:t>
      </w:r>
      <w:r w:rsidR="00932022">
        <w:rPr>
          <w:rFonts w:ascii="宋体" w:hAnsi="宋体" w:cs="宋体" w:hint="eastAsia"/>
          <w:kern w:val="0"/>
        </w:rPr>
        <w:t>（可调整）</w:t>
      </w:r>
      <w:r>
        <w:rPr>
          <w:rFonts w:ascii="宋体" w:hAnsi="宋体" w:cs="宋体" w:hint="eastAsia"/>
          <w:kern w:val="0"/>
        </w:rPr>
        <w:t>。</w:t>
      </w:r>
    </w:p>
    <w:p w:rsidR="00DA186F" w:rsidRDefault="00DA186F" w:rsidP="00DA186F">
      <w:pPr>
        <w:spacing w:line="360" w:lineRule="auto"/>
        <w:jc w:val="left"/>
        <w:rPr>
          <w:rFonts w:ascii="宋体" w:hAnsi="宋体" w:cs="宋体"/>
          <w:kern w:val="0"/>
        </w:rPr>
      </w:pPr>
      <w:r>
        <w:rPr>
          <w:rFonts w:ascii="宋体" w:hAnsi="宋体" w:cs="宋体" w:hint="eastAsia"/>
          <w:kern w:val="0"/>
        </w:rPr>
        <w:t>（2）免费维保期：</w:t>
      </w:r>
      <w:r>
        <w:rPr>
          <w:rFonts w:ascii="宋体" w:hAnsi="宋体" w:cs="宋体"/>
          <w:kern w:val="0"/>
        </w:rPr>
        <w:t>2</w:t>
      </w:r>
      <w:r>
        <w:rPr>
          <w:rFonts w:ascii="宋体" w:hAnsi="宋体" w:cs="宋体" w:hint="eastAsia"/>
          <w:kern w:val="0"/>
        </w:rPr>
        <w:t xml:space="preserve">年。 </w:t>
      </w:r>
    </w:p>
    <w:p w:rsidR="00DA186F" w:rsidRDefault="00932022" w:rsidP="00DA186F">
      <w:pPr>
        <w:spacing w:line="360" w:lineRule="auto"/>
        <w:jc w:val="left"/>
        <w:rPr>
          <w:rFonts w:ascii="宋体" w:hAnsi="宋体" w:cs="宋体"/>
          <w:kern w:val="0"/>
        </w:rPr>
      </w:pPr>
      <w:r>
        <w:rPr>
          <w:rFonts w:ascii="宋体" w:hAnsi="宋体" w:cs="宋体" w:hint="eastAsia"/>
          <w:kern w:val="0"/>
        </w:rPr>
        <w:t>3</w:t>
      </w:r>
      <w:r w:rsidR="00DA186F">
        <w:rPr>
          <w:rFonts w:ascii="宋体" w:hAnsi="宋体" w:cs="宋体" w:hint="eastAsia"/>
          <w:kern w:val="0"/>
        </w:rPr>
        <w:t>项目团队要求</w:t>
      </w:r>
    </w:p>
    <w:p w:rsidR="00DA186F" w:rsidRDefault="00DA186F" w:rsidP="00DA186F">
      <w:pPr>
        <w:spacing w:line="360" w:lineRule="auto"/>
        <w:jc w:val="left"/>
        <w:rPr>
          <w:rFonts w:ascii="宋体" w:hAnsi="宋体" w:cs="宋体"/>
          <w:kern w:val="0"/>
        </w:rPr>
      </w:pPr>
      <w:r>
        <w:rPr>
          <w:rFonts w:ascii="宋体" w:hAnsi="宋体" w:cs="宋体" w:hint="eastAsia"/>
          <w:kern w:val="0"/>
        </w:rPr>
        <w:t>项目需要一支经验丰富、配合默契且稳定，能够为项目建设提供全面解决方案、包括系统开发、数据处理、数据库建设和数据分析的专业化团队。人员配置科学合理、分工明确。</w:t>
      </w:r>
    </w:p>
    <w:p w:rsidR="00DA186F" w:rsidRDefault="00932022" w:rsidP="00DA186F">
      <w:pPr>
        <w:spacing w:line="360" w:lineRule="auto"/>
        <w:jc w:val="left"/>
        <w:rPr>
          <w:rFonts w:ascii="宋体" w:hAnsi="宋体" w:cs="宋体"/>
          <w:kern w:val="0"/>
        </w:rPr>
      </w:pPr>
      <w:r>
        <w:rPr>
          <w:rFonts w:ascii="宋体" w:hAnsi="宋体" w:cs="宋体" w:hint="eastAsia"/>
          <w:kern w:val="0"/>
        </w:rPr>
        <w:t>4.</w:t>
      </w:r>
      <w:r w:rsidR="00DA186F">
        <w:rPr>
          <w:rFonts w:ascii="宋体" w:hAnsi="宋体" w:cs="宋体" w:hint="eastAsia"/>
          <w:kern w:val="0"/>
        </w:rPr>
        <w:t>培训要求</w:t>
      </w:r>
    </w:p>
    <w:p w:rsidR="00DA186F" w:rsidRDefault="00DA186F" w:rsidP="00DA186F">
      <w:pPr>
        <w:spacing w:line="360" w:lineRule="auto"/>
        <w:jc w:val="left"/>
        <w:rPr>
          <w:rFonts w:ascii="宋体" w:hAnsi="宋体" w:cs="宋体"/>
          <w:kern w:val="0"/>
        </w:rPr>
      </w:pPr>
      <w:r>
        <w:rPr>
          <w:rFonts w:ascii="宋体" w:hAnsi="宋体" w:cs="宋体" w:hint="eastAsia"/>
          <w:kern w:val="0"/>
        </w:rPr>
        <w:t>（1）招标人组织本项目的培训工作，投标人应安排经验丰富的培训人员，为系统使用人员提供系统配置、开发、安装、使用和维护等方面的培训。</w:t>
      </w:r>
    </w:p>
    <w:p w:rsidR="00DA186F" w:rsidRDefault="00DA186F" w:rsidP="00DA186F">
      <w:pPr>
        <w:spacing w:line="360" w:lineRule="auto"/>
        <w:jc w:val="left"/>
        <w:rPr>
          <w:rFonts w:ascii="宋体" w:hAnsi="宋体" w:cs="宋体"/>
          <w:kern w:val="0"/>
        </w:rPr>
      </w:pPr>
      <w:r>
        <w:rPr>
          <w:rFonts w:ascii="宋体" w:hAnsi="宋体" w:cs="宋体" w:hint="eastAsia"/>
          <w:kern w:val="0"/>
        </w:rPr>
        <w:t>（2）投标人应提供详细的培训方案。培训方案主要包括培训组织机构、培训内容、培训对象等。</w:t>
      </w:r>
    </w:p>
    <w:p w:rsidR="00DA186F" w:rsidRDefault="00DA186F" w:rsidP="00DA186F">
      <w:pPr>
        <w:spacing w:line="360" w:lineRule="auto"/>
        <w:jc w:val="left"/>
        <w:rPr>
          <w:rFonts w:ascii="宋体" w:hAnsi="宋体" w:cs="宋体"/>
          <w:kern w:val="0"/>
        </w:rPr>
      </w:pPr>
      <w:r>
        <w:rPr>
          <w:rFonts w:ascii="宋体" w:hAnsi="宋体" w:cs="宋体" w:hint="eastAsia"/>
          <w:kern w:val="0"/>
        </w:rPr>
        <w:t>（3）投标人负责提供培训所需计划和资料、培训教材格式包括视频教材、用户操作手册、培训PPT，培训所使用的语言和教材必须是中文。</w:t>
      </w:r>
    </w:p>
    <w:p w:rsidR="00DA186F" w:rsidRDefault="00DA186F" w:rsidP="00DA186F">
      <w:pPr>
        <w:spacing w:line="360" w:lineRule="auto"/>
        <w:jc w:val="left"/>
        <w:rPr>
          <w:rFonts w:ascii="宋体" w:hAnsi="宋体" w:cs="宋体"/>
          <w:kern w:val="0"/>
        </w:rPr>
      </w:pPr>
      <w:r>
        <w:rPr>
          <w:rFonts w:ascii="宋体" w:hAnsi="宋体" w:cs="宋体" w:hint="eastAsia"/>
          <w:kern w:val="0"/>
        </w:rPr>
        <w:t>（4）培训的时间、内容、人员、期次等具体内容在执行过程中需根据招标人意见进行调整。</w:t>
      </w:r>
    </w:p>
    <w:p w:rsidR="004A4BD6" w:rsidRPr="00CF03F7" w:rsidRDefault="00932022" w:rsidP="004A4BD6">
      <w:pPr>
        <w:spacing w:line="360" w:lineRule="auto"/>
        <w:rPr>
          <w:rFonts w:ascii="宋体" w:hAnsi="宋体"/>
        </w:rPr>
      </w:pPr>
      <w:r>
        <w:rPr>
          <w:rFonts w:ascii="宋体" w:hAnsi="宋体" w:hint="eastAsia"/>
        </w:rPr>
        <w:t>5</w:t>
      </w:r>
      <w:r w:rsidR="004A4BD6" w:rsidRPr="00CF03F7">
        <w:rPr>
          <w:rFonts w:ascii="宋体" w:hAnsi="宋体"/>
        </w:rPr>
        <w:t>.项目验收要求</w:t>
      </w:r>
    </w:p>
    <w:p w:rsidR="004A4BD6" w:rsidRPr="00CF03F7" w:rsidRDefault="00932022" w:rsidP="004A4BD6">
      <w:pPr>
        <w:spacing w:line="360" w:lineRule="auto"/>
        <w:rPr>
          <w:rFonts w:ascii="宋体" w:hAnsi="宋体"/>
        </w:rPr>
      </w:pPr>
      <w:r>
        <w:rPr>
          <w:rFonts w:ascii="宋体" w:hAnsi="宋体" w:hint="eastAsia"/>
        </w:rPr>
        <w:t>5</w:t>
      </w:r>
      <w:r w:rsidR="004A4BD6" w:rsidRPr="00CF03F7">
        <w:rPr>
          <w:rFonts w:ascii="宋体" w:hAnsi="宋体"/>
        </w:rPr>
        <w:t>.1 投标人改造完成采购人关键性需求，覆盖所有业务流程，完成所有业务科室需求，投标人提供《系统上线方案》采购人审核同意后方可启动系统上线流程。系统上线并稳定运行一个月后投标人编制《系统上线报告》交由采购人确认完成上线流程。</w:t>
      </w:r>
    </w:p>
    <w:p w:rsidR="004A4BD6" w:rsidRPr="00CF03F7" w:rsidRDefault="00932022" w:rsidP="004A4BD6">
      <w:pPr>
        <w:spacing w:line="360" w:lineRule="auto"/>
        <w:rPr>
          <w:rFonts w:ascii="宋体" w:hAnsi="宋体"/>
        </w:rPr>
      </w:pPr>
      <w:r>
        <w:rPr>
          <w:rFonts w:ascii="宋体" w:hAnsi="宋体" w:hint="eastAsia"/>
        </w:rPr>
        <w:t>5</w:t>
      </w:r>
      <w:r w:rsidR="004A4BD6" w:rsidRPr="00CF03F7">
        <w:rPr>
          <w:rFonts w:ascii="宋体" w:hAnsi="宋体"/>
        </w:rPr>
        <w:t>.2 系统验收：在系统安装、调试完毕，满足采购人要求的全部功能，完成客户化工作，提交全部所需文档，完成上线流程并稳定运行三个月后，可向采购人提交书面验收申请，采购</w:t>
      </w:r>
      <w:r w:rsidR="004A4BD6" w:rsidRPr="00CF03F7">
        <w:rPr>
          <w:rFonts w:ascii="宋体" w:hAnsi="宋体"/>
        </w:rPr>
        <w:lastRenderedPageBreak/>
        <w:t>人经确认中标人已完成合同内容后，采购人和中标人双方共同组织、按照招标文件、投标文件、合同、相关承诺和相关补充文件的内容进行验收，由中标人出具《系统验收报告》。如达不到验收要求确需整改的，中标人应根据采购人所提整改内容继续修改，直至达到验收条件后双方共同组织验收。</w:t>
      </w:r>
    </w:p>
    <w:p w:rsidR="00DA186F" w:rsidRDefault="00932022" w:rsidP="00DA186F">
      <w:pPr>
        <w:spacing w:line="360" w:lineRule="auto"/>
        <w:jc w:val="left"/>
        <w:rPr>
          <w:rFonts w:ascii="宋体" w:hAnsi="宋体" w:cs="宋体"/>
          <w:kern w:val="0"/>
        </w:rPr>
      </w:pPr>
      <w:r>
        <w:rPr>
          <w:rFonts w:ascii="宋体" w:hAnsi="宋体" w:cs="宋体" w:hint="eastAsia"/>
          <w:kern w:val="0"/>
        </w:rPr>
        <w:t>6</w:t>
      </w:r>
      <w:r w:rsidR="00DA186F">
        <w:rPr>
          <w:rFonts w:ascii="宋体" w:hAnsi="宋体" w:cs="宋体" w:hint="eastAsia"/>
          <w:kern w:val="0"/>
        </w:rPr>
        <w:t>、付款方式</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1）合同签订后，收到中标人等额有效发票，三十个工作日内支付项目合同总额的15%；</w:t>
      </w:r>
    </w:p>
    <w:p w:rsidR="00DA186F" w:rsidRPr="00CF03F7" w:rsidRDefault="00DA186F" w:rsidP="00DA186F">
      <w:pPr>
        <w:spacing w:line="360" w:lineRule="auto"/>
        <w:rPr>
          <w:rFonts w:ascii="宋体" w:hAnsi="宋体"/>
        </w:rPr>
      </w:pPr>
      <w:r w:rsidRPr="00CF03F7">
        <w:rPr>
          <w:rFonts w:ascii="宋体" w:hAnsi="宋体" w:hint="eastAsia"/>
        </w:rPr>
        <w:t>（</w:t>
      </w:r>
      <w:r w:rsidRPr="00CF03F7">
        <w:rPr>
          <w:rFonts w:ascii="宋体" w:hAnsi="宋体"/>
        </w:rPr>
        <w:t>2）系统正式上线并稳定运行满一个月，双方签字确认《系统上线报告》后，收到中标人等额有效发票，三十个工作日内支付项目合同总额的15%；</w:t>
      </w:r>
    </w:p>
    <w:p w:rsidR="005F4F37" w:rsidRDefault="00DA186F" w:rsidP="005F4F37">
      <w:pPr>
        <w:spacing w:line="360" w:lineRule="auto"/>
        <w:rPr>
          <w:rFonts w:ascii="宋体" w:hAnsi="宋体" w:cs="宋体"/>
          <w:kern w:val="0"/>
        </w:rPr>
      </w:pPr>
      <w:r w:rsidRPr="00CF03F7">
        <w:rPr>
          <w:rFonts w:ascii="宋体" w:hAnsi="宋体" w:hint="eastAsia"/>
        </w:rPr>
        <w:t>（</w:t>
      </w:r>
      <w:r w:rsidRPr="00CF03F7">
        <w:rPr>
          <w:rFonts w:ascii="宋体" w:hAnsi="宋体"/>
        </w:rPr>
        <w:t>3）根据项目验收要求完成验收后，双方签字确认《系统验收报告》，收到中标人等额有效发票，三十个工作日内支付项目合同总额的70%；</w:t>
      </w:r>
      <w:r>
        <w:rPr>
          <w:rFonts w:ascii="宋体" w:hAnsi="宋体" w:cs="宋体" w:hint="eastAsia"/>
          <w:kern w:val="0"/>
        </w:rPr>
        <w:t xml:space="preserve"> </w:t>
      </w:r>
    </w:p>
    <w:p w:rsidR="005F4F37" w:rsidRPr="00CF03F7" w:rsidRDefault="00932022" w:rsidP="005F4F37">
      <w:pPr>
        <w:spacing w:line="360" w:lineRule="auto"/>
        <w:rPr>
          <w:rFonts w:ascii="宋体" w:hAnsi="宋体"/>
        </w:rPr>
      </w:pPr>
      <w:r>
        <w:rPr>
          <w:rFonts w:ascii="宋体" w:hAnsi="宋体" w:hint="eastAsia"/>
        </w:rPr>
        <w:t>7</w:t>
      </w:r>
      <w:r w:rsidR="005F4F37" w:rsidRPr="00CF03F7">
        <w:rPr>
          <w:rFonts w:ascii="宋体" w:hAnsi="宋体"/>
        </w:rPr>
        <w:t>履约保证金：</w:t>
      </w:r>
    </w:p>
    <w:p w:rsidR="005F4F37" w:rsidRPr="00CF03F7" w:rsidRDefault="005F4F37" w:rsidP="005F4F37">
      <w:pPr>
        <w:spacing w:line="360" w:lineRule="auto"/>
        <w:rPr>
          <w:rFonts w:ascii="宋体" w:hAnsi="宋体"/>
        </w:rPr>
      </w:pPr>
      <w:r w:rsidRPr="00CF03F7">
        <w:rPr>
          <w:rFonts w:ascii="宋体" w:hAnsi="宋体" w:hint="eastAsia"/>
        </w:rPr>
        <w:t>（</w:t>
      </w:r>
      <w:r w:rsidRPr="00CF03F7">
        <w:rPr>
          <w:rFonts w:ascii="宋体" w:hAnsi="宋体"/>
        </w:rPr>
        <w:t>1）履约保证金为中标合同金额的5%。合同签订后10个工作日内，中标人以现金方式或非现金方式（可选电汇、汇票、支票、保函等，如选用保函形式，保函出具机构原则上应在采购人所在城市范围内且有实体营业点）缴纳或提交履约保证金。</w:t>
      </w:r>
    </w:p>
    <w:p w:rsidR="00DA186F" w:rsidRPr="005F4F37" w:rsidRDefault="005F4F37" w:rsidP="00DA186F">
      <w:pPr>
        <w:spacing w:line="360" w:lineRule="auto"/>
        <w:rPr>
          <w:rFonts w:ascii="宋体" w:hAnsi="宋体"/>
        </w:rPr>
      </w:pPr>
      <w:r w:rsidRPr="00CF03F7">
        <w:rPr>
          <w:rFonts w:ascii="宋体" w:hAnsi="宋体" w:hint="eastAsia"/>
        </w:rPr>
        <w:t>（</w:t>
      </w:r>
      <w:r w:rsidRPr="00CF03F7">
        <w:rPr>
          <w:rFonts w:ascii="宋体" w:hAnsi="宋体"/>
        </w:rPr>
        <w:t>2）履约保证金的退还，维保期结束后中标人无违约情况下，不计利息一次性退还。在投标人履行项目期间内，投标人不存在任何违约行为及本项目全部整体验收合格后正常使用至免费维保期结束后（正常使用是指不存在任何影响项目系统稳定、正常运行或使用的缺陷、故障等问题），中标人出具履约保证金返还申请，采购人三十个工作日内全额退还履约保证金；如投标人在本合同履行期间违反合同约定或</w:t>
      </w:r>
      <w:proofErr w:type="gramStart"/>
      <w:r w:rsidRPr="00CF03F7">
        <w:rPr>
          <w:rFonts w:ascii="宋体" w:hAnsi="宋体"/>
        </w:rPr>
        <w:t>免费维保期限</w:t>
      </w:r>
      <w:proofErr w:type="gramEnd"/>
      <w:r w:rsidRPr="00CF03F7">
        <w:rPr>
          <w:rFonts w:ascii="宋体" w:hAnsi="宋体"/>
        </w:rPr>
        <w:t>内发生影响正常使用的问题，采购人有权根据投标人违约及问题的严重程度相应全部或部分扣减履约保证金，若履约保证金不足以弥补投标人给采购人带来的</w:t>
      </w:r>
      <w:r w:rsidRPr="00CF03F7">
        <w:rPr>
          <w:rFonts w:ascii="宋体" w:hAnsi="宋体" w:hint="eastAsia"/>
        </w:rPr>
        <w:t>损失的，投标人应在收到采购人书面通知后</w:t>
      </w:r>
      <w:r w:rsidRPr="00CF03F7">
        <w:rPr>
          <w:rFonts w:ascii="宋体" w:hAnsi="宋体"/>
        </w:rPr>
        <w:t>5日内补足因此给采购人造成的损失额。</w:t>
      </w:r>
    </w:p>
    <w:p w:rsidR="00DA186F" w:rsidRDefault="00932022" w:rsidP="00DA186F">
      <w:pPr>
        <w:spacing w:line="360" w:lineRule="auto"/>
        <w:jc w:val="left"/>
        <w:rPr>
          <w:rFonts w:ascii="宋体" w:hAnsi="宋体" w:cs="宋体"/>
          <w:kern w:val="0"/>
        </w:rPr>
      </w:pPr>
      <w:r>
        <w:rPr>
          <w:rFonts w:ascii="宋体" w:hAnsi="宋体" w:cs="宋体" w:hint="eastAsia"/>
          <w:kern w:val="0"/>
        </w:rPr>
        <w:t>8</w:t>
      </w:r>
      <w:r w:rsidR="00DA186F">
        <w:rPr>
          <w:rFonts w:ascii="宋体" w:hAnsi="宋体" w:cs="宋体" w:hint="eastAsia"/>
          <w:kern w:val="0"/>
        </w:rPr>
        <w:t>、知识产权要求</w:t>
      </w:r>
    </w:p>
    <w:p w:rsidR="00DA186F" w:rsidRDefault="00DA186F" w:rsidP="00DA186F">
      <w:pPr>
        <w:spacing w:line="360" w:lineRule="auto"/>
        <w:jc w:val="left"/>
        <w:rPr>
          <w:rFonts w:ascii="宋体" w:hAnsi="宋体" w:cs="宋体"/>
          <w:kern w:val="0"/>
        </w:rPr>
      </w:pPr>
      <w:r>
        <w:rPr>
          <w:rFonts w:ascii="宋体" w:hAnsi="宋体" w:cs="宋体" w:hint="eastAsia"/>
          <w:kern w:val="0"/>
        </w:rPr>
        <w:t>（1）投标人应保证招标人使用该项目及服务免受第三方提出的侵犯其知识产权的索赔或诉讼。如有上述指控，由投标人承担可能发生的一切法律责任和费用。</w:t>
      </w:r>
    </w:p>
    <w:p w:rsidR="00DA186F" w:rsidRDefault="00DA186F" w:rsidP="00DA186F">
      <w:pPr>
        <w:spacing w:line="360" w:lineRule="auto"/>
        <w:jc w:val="left"/>
        <w:rPr>
          <w:rFonts w:ascii="宋体" w:hAnsi="宋体" w:cs="宋体"/>
          <w:kern w:val="0"/>
        </w:rPr>
      </w:pPr>
      <w:r>
        <w:rPr>
          <w:rFonts w:ascii="宋体" w:hAnsi="宋体" w:cs="宋体" w:hint="eastAsia"/>
          <w:kern w:val="0"/>
        </w:rPr>
        <w:t>（2）投标人不得以任何方式向第三方披露、转让本项目的技术成果、关键技术、数据信息、文档资料等。</w:t>
      </w:r>
    </w:p>
    <w:p w:rsidR="00DA186F" w:rsidRDefault="00932022" w:rsidP="00DA186F">
      <w:pPr>
        <w:spacing w:line="360" w:lineRule="auto"/>
        <w:jc w:val="left"/>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w:t>
      </w:r>
      <w:r w:rsidR="00DA186F">
        <w:rPr>
          <w:rFonts w:ascii="宋体" w:hAnsi="宋体" w:cs="宋体" w:hint="eastAsia"/>
          <w:kern w:val="0"/>
        </w:rPr>
        <w:t>、保密要求</w:t>
      </w:r>
    </w:p>
    <w:p w:rsidR="00DA186F" w:rsidRPr="00932022" w:rsidRDefault="00DA186F" w:rsidP="00932022">
      <w:pPr>
        <w:spacing w:line="360" w:lineRule="auto"/>
        <w:jc w:val="left"/>
        <w:rPr>
          <w:rFonts w:ascii="宋体" w:hAnsi="宋体" w:cs="宋体"/>
          <w:kern w:val="0"/>
        </w:rPr>
      </w:pPr>
      <w:r>
        <w:rPr>
          <w:rFonts w:ascii="宋体" w:hAnsi="宋体" w:cs="宋体" w:hint="eastAsia"/>
          <w:kern w:val="0"/>
        </w:rPr>
        <w:t>投标人必须对项目技术文件以及由招标人提供的所有内部资料、技术文档、数据和信息予以保密。</w:t>
      </w:r>
    </w:p>
    <w:sectPr w:rsidR="00DA186F" w:rsidRPr="009320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79" w:rsidRDefault="004C2579" w:rsidP="00DA186F">
      <w:r>
        <w:separator/>
      </w:r>
    </w:p>
  </w:endnote>
  <w:endnote w:type="continuationSeparator" w:id="0">
    <w:p w:rsidR="004C2579" w:rsidRDefault="004C2579" w:rsidP="00DA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79" w:rsidRDefault="004C2579" w:rsidP="00DA186F">
      <w:r>
        <w:separator/>
      </w:r>
    </w:p>
  </w:footnote>
  <w:footnote w:type="continuationSeparator" w:id="0">
    <w:p w:rsidR="004C2579" w:rsidRDefault="004C2579" w:rsidP="00DA1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99"/>
    <w:rsid w:val="00183C72"/>
    <w:rsid w:val="001C3D99"/>
    <w:rsid w:val="002165DB"/>
    <w:rsid w:val="00321040"/>
    <w:rsid w:val="00425F63"/>
    <w:rsid w:val="004A4BD6"/>
    <w:rsid w:val="004B1835"/>
    <w:rsid w:val="004C2579"/>
    <w:rsid w:val="005F4F37"/>
    <w:rsid w:val="008064F9"/>
    <w:rsid w:val="00903F51"/>
    <w:rsid w:val="00932022"/>
    <w:rsid w:val="00C813FA"/>
    <w:rsid w:val="00DA186F"/>
    <w:rsid w:val="00DC50AE"/>
    <w:rsid w:val="00F5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DA186F"/>
    <w:pPr>
      <w:keepNext/>
      <w:keepLines/>
      <w:spacing w:before="260" w:after="260" w:line="416" w:lineRule="auto"/>
      <w:outlineLvl w:val="1"/>
    </w:pPr>
    <w:rPr>
      <w:rFonts w:asciiTheme="majorHAnsi" w:eastAsiaTheme="majorEastAsia" w:hAnsiTheme="majorHAnsi" w:cstheme="majorBidi"/>
      <w:b/>
      <w:bCs/>
      <w:spacing w:val="1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186F"/>
    <w:rPr>
      <w:sz w:val="18"/>
      <w:szCs w:val="18"/>
    </w:rPr>
  </w:style>
  <w:style w:type="paragraph" w:styleId="a4">
    <w:name w:val="footer"/>
    <w:basedOn w:val="a"/>
    <w:link w:val="Char0"/>
    <w:uiPriority w:val="99"/>
    <w:unhideWhenUsed/>
    <w:rsid w:val="00DA186F"/>
    <w:pPr>
      <w:tabs>
        <w:tab w:val="center" w:pos="4153"/>
        <w:tab w:val="right" w:pos="8306"/>
      </w:tabs>
      <w:snapToGrid w:val="0"/>
      <w:jc w:val="left"/>
    </w:pPr>
    <w:rPr>
      <w:sz w:val="18"/>
      <w:szCs w:val="18"/>
    </w:rPr>
  </w:style>
  <w:style w:type="character" w:customStyle="1" w:styleId="Char0">
    <w:name w:val="页脚 Char"/>
    <w:basedOn w:val="a0"/>
    <w:link w:val="a4"/>
    <w:uiPriority w:val="99"/>
    <w:rsid w:val="00DA186F"/>
    <w:rPr>
      <w:sz w:val="18"/>
      <w:szCs w:val="18"/>
    </w:rPr>
  </w:style>
  <w:style w:type="character" w:customStyle="1" w:styleId="2Char">
    <w:name w:val="标题 2 Char"/>
    <w:basedOn w:val="a0"/>
    <w:link w:val="2"/>
    <w:uiPriority w:val="9"/>
    <w:qFormat/>
    <w:rsid w:val="00DA186F"/>
    <w:rPr>
      <w:rFonts w:asciiTheme="majorHAnsi" w:eastAsiaTheme="majorEastAsia" w:hAnsiTheme="majorHAnsi" w:cstheme="majorBidi"/>
      <w:b/>
      <w:bCs/>
      <w:spacing w:val="14"/>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DA186F"/>
    <w:pPr>
      <w:keepNext/>
      <w:keepLines/>
      <w:spacing w:before="260" w:after="260" w:line="416" w:lineRule="auto"/>
      <w:outlineLvl w:val="1"/>
    </w:pPr>
    <w:rPr>
      <w:rFonts w:asciiTheme="majorHAnsi" w:eastAsiaTheme="majorEastAsia" w:hAnsiTheme="majorHAnsi" w:cstheme="majorBidi"/>
      <w:b/>
      <w:bCs/>
      <w:spacing w:val="1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186F"/>
    <w:rPr>
      <w:sz w:val="18"/>
      <w:szCs w:val="18"/>
    </w:rPr>
  </w:style>
  <w:style w:type="paragraph" w:styleId="a4">
    <w:name w:val="footer"/>
    <w:basedOn w:val="a"/>
    <w:link w:val="Char0"/>
    <w:uiPriority w:val="99"/>
    <w:unhideWhenUsed/>
    <w:rsid w:val="00DA186F"/>
    <w:pPr>
      <w:tabs>
        <w:tab w:val="center" w:pos="4153"/>
        <w:tab w:val="right" w:pos="8306"/>
      </w:tabs>
      <w:snapToGrid w:val="0"/>
      <w:jc w:val="left"/>
    </w:pPr>
    <w:rPr>
      <w:sz w:val="18"/>
      <w:szCs w:val="18"/>
    </w:rPr>
  </w:style>
  <w:style w:type="character" w:customStyle="1" w:styleId="Char0">
    <w:name w:val="页脚 Char"/>
    <w:basedOn w:val="a0"/>
    <w:link w:val="a4"/>
    <w:uiPriority w:val="99"/>
    <w:rsid w:val="00DA186F"/>
    <w:rPr>
      <w:sz w:val="18"/>
      <w:szCs w:val="18"/>
    </w:rPr>
  </w:style>
  <w:style w:type="character" w:customStyle="1" w:styleId="2Char">
    <w:name w:val="标题 2 Char"/>
    <w:basedOn w:val="a0"/>
    <w:link w:val="2"/>
    <w:uiPriority w:val="9"/>
    <w:qFormat/>
    <w:rsid w:val="00DA186F"/>
    <w:rPr>
      <w:rFonts w:asciiTheme="majorHAnsi" w:eastAsiaTheme="majorEastAsia" w:hAnsiTheme="majorHAnsi" w:cstheme="majorBidi"/>
      <w:b/>
      <w:bCs/>
      <w:spacing w:val="1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4</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cp:lastModifiedBy>
  <cp:revision>5</cp:revision>
  <dcterms:created xsi:type="dcterms:W3CDTF">2023-07-17T14:58:00Z</dcterms:created>
  <dcterms:modified xsi:type="dcterms:W3CDTF">2023-09-05T01:03:00Z</dcterms:modified>
</cp:coreProperties>
</file>