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中山市中医院健康管理软</w:t>
      </w:r>
      <w:bookmarkStart w:id="0" w:name="_GoBack"/>
      <w:bookmarkEnd w:id="0"/>
      <w:r>
        <w:rPr>
          <w:rFonts w:hint="eastAsia" w:ascii="仿宋" w:hAnsi="仿宋" w:eastAsia="仿宋" w:cs="仿宋"/>
          <w:b/>
          <w:bCs/>
          <w:sz w:val="36"/>
          <w:szCs w:val="36"/>
        </w:rPr>
        <w:t>件</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t>技术需求：</w:t>
      </w:r>
    </w:p>
    <w:tbl>
      <w:tblPr>
        <w:tblStyle w:val="5"/>
        <w:tblpPr w:leftFromText="180" w:rightFromText="180" w:vertAnchor="text" w:horzAnchor="page" w:tblpX="1210" w:tblpY="3256"/>
        <w:tblOverlap w:val="never"/>
        <w:tblW w:w="9060" w:type="dxa"/>
        <w:tblInd w:w="0" w:type="dxa"/>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0" w:hRule="atLeast"/>
        </w:trPr>
        <w:tc>
          <w:tcPr>
            <w:tcW w:w="9060" w:type="dxa"/>
            <w:tcBorders>
              <w:top w:val="single" w:color="auto" w:sz="4" w:space="0"/>
              <w:left w:val="nil"/>
              <w:bottom w:val="nil"/>
              <w:right w:val="nil"/>
            </w:tcBorders>
            <w:shd w:val="clear" w:color="auto" w:fill="auto"/>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二、项目基本要求</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1、投标人提供产品应满足如下标准：</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（1）《电子病历系统功能应用水平分级评价方法及标准》六级以上</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（2）《医院信息互联互通标准化成熟度测评方案》四级甲等以上</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（3）《医院智慧服务分级评估标准体系》三级以上</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（4）《医院智慧管理分级评估标准体系》三级以上</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（5）《信息安全技术网络安全等级保护基本要求》三级</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（6）《医院信息系统基本功能规范》</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（7）《中医医院信息系统基本功能规范》</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（8）《全国医院信息化建设标准与规范》</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（9）《卫生系统电子认证服务规范》</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（10）《三级中医医院评审标准》</w:t>
            </w:r>
          </w:p>
        </w:tc>
      </w:tr>
      <w:tr>
        <w:tblPrEx>
          <w:tblCellMar>
            <w:top w:w="0" w:type="dxa"/>
            <w:left w:w="108" w:type="dxa"/>
            <w:bottom w:w="0" w:type="dxa"/>
            <w:right w:w="108" w:type="dxa"/>
          </w:tblCellMar>
        </w:tblPrEx>
        <w:trPr>
          <w:trHeight w:val="708"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（11）《信息安全技术个人信息安全规范》</w:t>
            </w:r>
          </w:p>
        </w:tc>
      </w:tr>
      <w:tr>
        <w:tblPrEx>
          <w:tblCellMar>
            <w:top w:w="0" w:type="dxa"/>
            <w:left w:w="108" w:type="dxa"/>
            <w:bottom w:w="0" w:type="dxa"/>
            <w:right w:w="108" w:type="dxa"/>
          </w:tblCellMar>
        </w:tblPrEx>
        <w:trPr>
          <w:trHeight w:val="0" w:hRule="atLeast"/>
        </w:trPr>
        <w:tc>
          <w:tcPr>
            <w:tcW w:w="9060" w:type="dxa"/>
            <w:tcBorders>
              <w:top w:val="nil"/>
              <w:left w:val="nil"/>
              <w:bottom w:val="nil"/>
              <w:right w:val="nil"/>
            </w:tcBorders>
            <w:shd w:val="clear" w:color="auto" w:fill="auto"/>
            <w:noWrap/>
            <w:vAlign w:val="center"/>
          </w:tcPr>
          <w:p>
            <w:pPr>
              <w:widowControl/>
              <w:jc w:val="left"/>
              <w:rPr>
                <w:rFonts w:hint="eastAsia" w:ascii="仿宋" w:hAnsi="仿宋" w:eastAsia="仿宋" w:cs="仿宋"/>
                <w:sz w:val="28"/>
                <w:szCs w:val="28"/>
              </w:rPr>
            </w:pPr>
            <w:r>
              <w:rPr>
                <w:rFonts w:hint="eastAsia" w:ascii="仿宋" w:hAnsi="仿宋" w:eastAsia="仿宋" w:cs="仿宋"/>
                <w:sz w:val="28"/>
                <w:szCs w:val="28"/>
              </w:rPr>
              <w:t>（12）所有系统能够按照相关标准（和/或甲方要求）由供应商免费接入医院信息集成平台。</w:t>
            </w:r>
          </w:p>
        </w:tc>
      </w:tr>
    </w:tbl>
    <w:p>
      <w:pPr>
        <w:ind w:firstLine="560" w:firstLineChars="200"/>
        <w:rPr>
          <w:rFonts w:ascii="仿宋" w:hAnsi="仿宋" w:eastAsia="仿宋" w:cs="仿宋"/>
          <w:sz w:val="28"/>
          <w:szCs w:val="28"/>
        </w:rPr>
      </w:pPr>
      <w:r>
        <w:rPr>
          <w:rFonts w:hint="eastAsia" w:ascii="仿宋" w:hAnsi="仿宋" w:eastAsia="仿宋" w:cs="仿宋"/>
          <w:sz w:val="28"/>
          <w:szCs w:val="28"/>
        </w:rPr>
        <w:t>功能包含但不限于：问卷量表如生活方式问卷、中医体质辨识量表等；制定个性化体检套餐；个人和团体体检数据整合分析；健康报告内容包括：预测和分析、体检结果，健康建议，多年数据对比，体质调养建议等；慢病管理；阳性结果跟踪；健康档案；健康服务如消息通知，</w:t>
      </w:r>
      <w:r>
        <w:rPr>
          <w:rFonts w:hint="eastAsia" w:ascii="仿宋" w:hAnsi="仿宋" w:eastAsia="仿宋" w:cs="仿宋"/>
          <w:sz w:val="28"/>
          <w:szCs w:val="28"/>
          <w:lang w:eastAsia="zh-Hans"/>
        </w:rPr>
        <w:t>短信设置</w:t>
      </w:r>
      <w:r>
        <w:rPr>
          <w:rFonts w:hint="eastAsia" w:ascii="仿宋" w:hAnsi="仿宋" w:eastAsia="仿宋" w:cs="仿宋"/>
          <w:sz w:val="28"/>
          <w:szCs w:val="28"/>
        </w:rPr>
        <w:t>提醒等。</w:t>
      </w:r>
    </w:p>
    <w:p>
      <w:pPr>
        <w:widowControl/>
        <w:jc w:val="left"/>
        <w:rPr>
          <w:rFonts w:hint="eastAsia" w:ascii="仿宋" w:hAnsi="仿宋" w:eastAsia="仿宋" w:cs="仿宋"/>
          <w:szCs w:val="21"/>
        </w:rPr>
      </w:pPr>
    </w:p>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商务需求：</w:t>
      </w:r>
    </w:p>
    <w:p>
      <w:pPr>
        <w:widowControl/>
        <w:jc w:val="lef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本项目为采购人的智慧医院信息化建设的子项目，本项目为交钥匙工程，投标价应为人民币含税全包价，投标价格为固定价格，包括但不限于以下费用：</w:t>
      </w:r>
    </w:p>
    <w:p>
      <w:pPr>
        <w:widowControl/>
        <w:jc w:val="left"/>
        <w:rPr>
          <w:rFonts w:ascii="仿宋" w:hAnsi="仿宋" w:eastAsia="仿宋" w:cs="仿宋"/>
          <w:sz w:val="28"/>
          <w:szCs w:val="28"/>
        </w:rPr>
      </w:pPr>
      <w:r>
        <w:rPr>
          <w:rFonts w:hint="eastAsia" w:ascii="仿宋" w:hAnsi="仿宋" w:eastAsia="仿宋" w:cs="仿宋"/>
          <w:sz w:val="28"/>
          <w:szCs w:val="28"/>
        </w:rPr>
        <w:t>（1）完整的产品软件、技术文件的费用、系统的设计、开发测试、安装调试技术服务费用及所发生相应的费用；</w:t>
      </w:r>
    </w:p>
    <w:p>
      <w:pPr>
        <w:widowControl/>
        <w:jc w:val="left"/>
        <w:rPr>
          <w:rFonts w:ascii="仿宋" w:hAnsi="仿宋" w:eastAsia="仿宋" w:cs="仿宋"/>
          <w:sz w:val="28"/>
          <w:szCs w:val="28"/>
        </w:rPr>
      </w:pPr>
      <w:r>
        <w:rPr>
          <w:rFonts w:hint="eastAsia" w:ascii="仿宋" w:hAnsi="仿宋" w:eastAsia="仿宋" w:cs="仿宋"/>
          <w:sz w:val="28"/>
          <w:szCs w:val="28"/>
        </w:rPr>
        <w:t>（2）软件永久许可使用费；</w:t>
      </w:r>
    </w:p>
    <w:p>
      <w:pPr>
        <w:widowControl/>
        <w:jc w:val="left"/>
        <w:rPr>
          <w:rFonts w:ascii="仿宋" w:hAnsi="仿宋" w:eastAsia="仿宋" w:cs="仿宋"/>
          <w:sz w:val="28"/>
          <w:szCs w:val="28"/>
        </w:rPr>
      </w:pPr>
      <w:r>
        <w:rPr>
          <w:rFonts w:hint="eastAsia" w:ascii="仿宋" w:hAnsi="仿宋" w:eastAsia="仿宋" w:cs="仿宋"/>
          <w:sz w:val="28"/>
          <w:szCs w:val="28"/>
        </w:rPr>
        <w:t>（3）质保期内的服务费用和升级改造费用；</w:t>
      </w:r>
    </w:p>
    <w:p>
      <w:pPr>
        <w:widowControl/>
        <w:jc w:val="left"/>
        <w:rPr>
          <w:rFonts w:ascii="仿宋" w:hAnsi="仿宋" w:eastAsia="仿宋" w:cs="仿宋"/>
          <w:sz w:val="28"/>
          <w:szCs w:val="28"/>
        </w:rPr>
      </w:pPr>
      <w:r>
        <w:rPr>
          <w:rFonts w:hint="eastAsia" w:ascii="仿宋" w:hAnsi="仿宋" w:eastAsia="仿宋" w:cs="仿宋"/>
          <w:sz w:val="28"/>
          <w:szCs w:val="28"/>
        </w:rPr>
        <w:t>（4）系统培训、验收、售后服务、智慧医院建设目标测评所需的费用及相关服务等一切费用；</w:t>
      </w:r>
    </w:p>
    <w:p>
      <w:pPr>
        <w:widowControl/>
        <w:jc w:val="left"/>
        <w:rPr>
          <w:rFonts w:ascii="仿宋" w:hAnsi="仿宋" w:eastAsia="仿宋" w:cs="仿宋"/>
          <w:sz w:val="28"/>
          <w:szCs w:val="28"/>
        </w:rPr>
      </w:pPr>
      <w:r>
        <w:rPr>
          <w:rFonts w:hint="eastAsia" w:ascii="仿宋" w:hAnsi="仿宋" w:eastAsia="仿宋" w:cs="仿宋"/>
          <w:sz w:val="28"/>
          <w:szCs w:val="28"/>
        </w:rPr>
        <w:t>（5）与医院信息系统间的接口开发、对接医院现有信息系统及日后智慧医院信息系统接入平台升级改造涉及的所有费用均由中标人支付，确保项目达到智慧项目目标，采购人不再支付任何其他费用；</w:t>
      </w:r>
    </w:p>
    <w:p>
      <w:pPr>
        <w:widowControl/>
        <w:jc w:val="left"/>
        <w:rPr>
          <w:rFonts w:ascii="仿宋" w:hAnsi="仿宋" w:eastAsia="仿宋" w:cs="仿宋"/>
          <w:sz w:val="28"/>
          <w:szCs w:val="28"/>
        </w:rPr>
      </w:pPr>
      <w:r>
        <w:rPr>
          <w:rFonts w:hint="eastAsia" w:ascii="仿宋" w:hAnsi="仿宋" w:eastAsia="仿宋" w:cs="仿宋"/>
          <w:sz w:val="28"/>
          <w:szCs w:val="28"/>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pPr>
        <w:widowControl/>
        <w:jc w:val="left"/>
        <w:rPr>
          <w:rFonts w:ascii="仿宋" w:hAnsi="仿宋" w:eastAsia="仿宋" w:cs="仿宋"/>
          <w:sz w:val="28"/>
          <w:szCs w:val="28"/>
        </w:rPr>
      </w:pPr>
      <w:r>
        <w:rPr>
          <w:rFonts w:hint="eastAsia" w:ascii="仿宋" w:hAnsi="仿宋" w:eastAsia="仿宋" w:cs="仿宋"/>
          <w:sz w:val="28"/>
          <w:szCs w:val="28"/>
        </w:rPr>
        <w:t>（7）为完成本项目义务所需支付的其他费用。</w:t>
      </w:r>
    </w:p>
    <w:p>
      <w:pPr>
        <w:widowControl/>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免费维保期不少于2年，维保期结束后维保费用不超合同总价7%</w:t>
      </w:r>
    </w:p>
    <w:p>
      <w:pPr>
        <w:widowControl/>
        <w:jc w:val="left"/>
        <w:rPr>
          <w:rFonts w:ascii="仿宋" w:hAnsi="仿宋" w:eastAsia="仿宋" w:cs="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DMwZjE0OTM2MTQxZDEyODEzMDE4ZThkMjExN2UifQ=="/>
  </w:docVars>
  <w:rsids>
    <w:rsidRoot w:val="00B23FB5"/>
    <w:rsid w:val="00157B2B"/>
    <w:rsid w:val="006B2760"/>
    <w:rsid w:val="00962E92"/>
    <w:rsid w:val="00B23FB5"/>
    <w:rsid w:val="100C79BF"/>
    <w:rsid w:val="175804D7"/>
    <w:rsid w:val="25F538FE"/>
    <w:rsid w:val="2BC2725B"/>
    <w:rsid w:val="45E55F11"/>
    <w:rsid w:val="4C222850"/>
    <w:rsid w:val="4ED721ED"/>
    <w:rsid w:val="65683C84"/>
    <w:rsid w:val="6C5C2FB1"/>
    <w:rsid w:val="6F030253"/>
    <w:rsid w:val="72E0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unhideWhenUsed/>
    <w:qFormat/>
    <w:uiPriority w:val="99"/>
    <w:pPr>
      <w:widowControl/>
      <w:spacing w:after="160" w:line="259" w:lineRule="auto"/>
      <w:jc w:val="left"/>
    </w:pPr>
    <w:rPr>
      <w:rFonts w:ascii="Calibri" w:hAnsi="Calibri" w:eastAsia="宋体" w:cs="Times New Roman"/>
      <w:kern w:val="0"/>
      <w:sz w:val="22"/>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文字 Char"/>
    <w:basedOn w:val="6"/>
    <w:link w:val="2"/>
    <w:qFormat/>
    <w:uiPriority w:val="99"/>
    <w:rPr>
      <w:rFonts w:ascii="Calibri" w:hAnsi="Calibri"/>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958</Characters>
  <Lines>7</Lines>
  <Paragraphs>1</Paragraphs>
  <TotalTime>1</TotalTime>
  <ScaleCrop>false</ScaleCrop>
  <LinksUpToDate>false</LinksUpToDate>
  <CharactersWithSpaces>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2023-09-06T01:46:00Z</dcterms:created>
  <dc:creator>kanlina</dc:creator>
  <cp:lastModifiedBy>1</cp:lastModifiedBy>
  <dcterms:modified xsi:type="dcterms:W3CDTF">2023-09-08T00:12:04Z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32CBD62288AF4B0DB5126ADA5FD6DCC4_12</vt:lpwstr>
  </property>
</Properties>
</file>