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after="62" w:line="360" w:lineRule="auto"/>
        <w:jc w:val="center"/>
        <w:rPr>
          <w:rFonts w:hint="eastAsia"/>
          <w:b/>
          <w:bCs/>
          <w:sz w:val="32"/>
          <w:szCs w:val="32"/>
        </w:rPr>
      </w:pPr>
      <w:bookmarkStart w:id="1" w:name="_GoBack"/>
      <w:r>
        <w:rPr>
          <w:rFonts w:hint="eastAsia"/>
          <w:b/>
          <w:bCs/>
          <w:sz w:val="32"/>
          <w:szCs w:val="32"/>
        </w:rPr>
        <w:t>中山市中医院临床心理量表系统</w:t>
      </w:r>
    </w:p>
    <w:bookmarkEnd w:id="1"/>
    <w:p>
      <w:pPr>
        <w:spacing w:before="62" w:after="62" w:line="360" w:lineRule="auto"/>
        <w:jc w:val="both"/>
        <w:rPr>
          <w:rFonts w:hint="eastAsia" w:ascii="宋体" w:hAnsi="宋体" w:eastAsia="宋体" w:cs="Times New Roman"/>
          <w:b w:val="0"/>
          <w:bCs w:val="0"/>
          <w:kern w:val="2"/>
          <w:sz w:val="24"/>
          <w:szCs w:val="24"/>
          <w:lang w:val="en-US" w:eastAsia="zh-CN" w:bidi="ar-SA"/>
          <w14:ligatures w14:val="none"/>
        </w:rPr>
      </w:pPr>
      <w:r>
        <w:rPr>
          <w:rFonts w:hint="eastAsia" w:ascii="宋体" w:hAnsi="宋体" w:eastAsia="宋体" w:cs="Times New Roman"/>
          <w:b w:val="0"/>
          <w:bCs w:val="0"/>
          <w:kern w:val="2"/>
          <w:sz w:val="24"/>
          <w:szCs w:val="24"/>
          <w:lang w:val="en-US" w:eastAsia="zh-CN" w:bidi="ar-SA"/>
          <w14:ligatures w14:val="none"/>
        </w:rPr>
        <w:t>技术需求</w:t>
      </w:r>
      <w:r>
        <w:rPr>
          <w:rFonts w:hint="eastAsia" w:ascii="宋体" w:hAnsi="宋体" w:cs="Times New Roman"/>
          <w:b w:val="0"/>
          <w:bCs w:val="0"/>
          <w:kern w:val="2"/>
          <w:sz w:val="24"/>
          <w:szCs w:val="24"/>
          <w:lang w:val="en-US" w:eastAsia="zh-CN" w:bidi="ar-SA"/>
          <w14:ligatures w14:val="none"/>
        </w:rPr>
        <w:t>：</w:t>
      </w:r>
    </w:p>
    <w:p>
      <w:pPr>
        <w:pStyle w:val="11"/>
        <w:numPr>
          <w:ilvl w:val="0"/>
          <w:numId w:val="2"/>
        </w:numPr>
        <w:spacing w:before="62" w:after="62" w:line="360" w:lineRule="auto"/>
        <w:ind w:firstLineChars="0"/>
        <w:rPr>
          <w:rFonts w:ascii="宋体" w:hAnsi="宋体"/>
          <w:sz w:val="24"/>
        </w:rPr>
      </w:pPr>
      <w:r>
        <w:rPr>
          <w:rFonts w:hint="eastAsia" w:ascii="宋体" w:hAnsi="宋体"/>
          <w:sz w:val="24"/>
        </w:rPr>
        <w:t>一处部署全院可用；</w:t>
      </w:r>
    </w:p>
    <w:p>
      <w:pPr>
        <w:pStyle w:val="11"/>
        <w:numPr>
          <w:ilvl w:val="0"/>
          <w:numId w:val="2"/>
        </w:numPr>
        <w:spacing w:before="62" w:after="62" w:line="360" w:lineRule="auto"/>
        <w:ind w:firstLineChars="0"/>
        <w:rPr>
          <w:rFonts w:ascii="宋体" w:hAnsi="宋体"/>
          <w:sz w:val="24"/>
        </w:rPr>
      </w:pPr>
      <w:r>
        <w:rPr>
          <w:rFonts w:hint="eastAsia" w:ascii="宋体" w:hAnsi="宋体"/>
          <w:sz w:val="24"/>
        </w:rPr>
        <w:t>能够根据科室要求修改，或定制开发，</w:t>
      </w:r>
      <w:r>
        <w:rPr>
          <w:rFonts w:hint="eastAsia" w:ascii="宋体" w:hAnsi="宋体"/>
          <w:bCs/>
          <w:color w:val="000000" w:themeColor="text1"/>
          <w14:textFill>
            <w14:solidFill>
              <w14:schemeClr w14:val="tx1"/>
            </w14:solidFill>
          </w14:textFill>
        </w:rPr>
        <w:t>系统兼容各类智能手机、平板电脑，支持微信公众号、网页等格式</w:t>
      </w:r>
      <w:r>
        <w:rPr>
          <w:rFonts w:hint="eastAsia" w:ascii="宋体" w:hAnsi="宋体"/>
          <w:sz w:val="24"/>
        </w:rPr>
        <w:t>；</w:t>
      </w:r>
    </w:p>
    <w:p>
      <w:pPr>
        <w:pStyle w:val="11"/>
        <w:numPr>
          <w:ilvl w:val="0"/>
          <w:numId w:val="2"/>
        </w:numPr>
        <w:spacing w:before="62" w:after="62" w:line="360" w:lineRule="auto"/>
        <w:ind w:firstLineChars="0"/>
        <w:rPr>
          <w:rFonts w:ascii="宋体" w:hAnsi="宋体"/>
          <w:sz w:val="24"/>
        </w:rPr>
      </w:pPr>
      <w:r>
        <w:rPr>
          <w:rFonts w:hint="eastAsia" w:ascii="宋体" w:hAnsi="宋体"/>
          <w:sz w:val="24"/>
        </w:rPr>
        <w:t>能够与医院门诊及住院系统（医嘱、收费）对接，</w:t>
      </w:r>
      <w:r>
        <w:rPr>
          <w:rFonts w:hint="eastAsia" w:ascii="宋体" w:hAnsi="宋体"/>
          <w:bCs/>
          <w:color w:val="000000" w:themeColor="text1"/>
          <w14:textFill>
            <w14:solidFill>
              <w14:schemeClr w14:val="tx1"/>
            </w14:solidFill>
          </w14:textFill>
        </w:rPr>
        <w:t>患者在缴费后</w:t>
      </w:r>
      <w:r>
        <w:rPr>
          <w:rFonts w:ascii="宋体" w:hAnsi="宋体"/>
          <w:bCs/>
          <w:color w:val="000000" w:themeColor="text1"/>
          <w14:textFill>
            <w14:solidFill>
              <w14:schemeClr w14:val="tx1"/>
            </w14:solidFill>
          </w14:textFill>
        </w:rPr>
        <w:t>,将</w:t>
      </w:r>
      <w:r>
        <w:rPr>
          <w:rFonts w:hint="eastAsia" w:ascii="宋体" w:hAnsi="宋体"/>
          <w:bCs/>
          <w:color w:val="000000" w:themeColor="text1"/>
          <w14:textFill>
            <w14:solidFill>
              <w14:schemeClr w14:val="tx1"/>
            </w14:solidFill>
          </w14:textFill>
        </w:rPr>
        <w:t>收到医院服务号推送的微信消息，点击消息可以开始答题。</w:t>
      </w:r>
    </w:p>
    <w:p>
      <w:pPr>
        <w:pStyle w:val="11"/>
        <w:numPr>
          <w:ilvl w:val="0"/>
          <w:numId w:val="2"/>
        </w:numPr>
        <w:spacing w:before="62" w:after="62" w:line="360" w:lineRule="auto"/>
        <w:ind w:firstLineChars="0"/>
        <w:rPr>
          <w:rFonts w:ascii="宋体" w:hAnsi="宋体"/>
          <w:sz w:val="24"/>
        </w:rPr>
      </w:pPr>
      <w:r>
        <w:rPr>
          <w:rFonts w:hint="eastAsia" w:ascii="宋体" w:hAnsi="宋体"/>
          <w:sz w:val="24"/>
        </w:rPr>
        <w:t>能够与医院公众号对接，具备提醒功能；</w:t>
      </w:r>
    </w:p>
    <w:p>
      <w:pPr>
        <w:pStyle w:val="11"/>
        <w:numPr>
          <w:ilvl w:val="0"/>
          <w:numId w:val="2"/>
        </w:numPr>
        <w:spacing w:before="62" w:after="62" w:line="360" w:lineRule="auto"/>
        <w:ind w:firstLineChars="0"/>
        <w:rPr>
          <w:rFonts w:hint="eastAsia" w:ascii="宋体" w:hAnsi="宋体"/>
          <w:sz w:val="24"/>
        </w:rPr>
      </w:pPr>
      <w:r>
        <w:rPr>
          <w:rFonts w:hint="eastAsia" w:ascii="宋体" w:hAnsi="宋体"/>
          <w:sz w:val="24"/>
        </w:rPr>
        <w:t>能够与自助终端设备对接，具有查询和打印报告功能，</w:t>
      </w:r>
      <w:r>
        <w:rPr>
          <w:rFonts w:hint="eastAsia" w:ascii="宋体" w:hAnsi="宋体"/>
        </w:rPr>
        <w:t>报告格式支持自定</w:t>
      </w:r>
      <w:r>
        <w:rPr>
          <w:rFonts w:hint="eastAsia" w:ascii="宋体" w:hAnsi="宋体"/>
          <w:sz w:val="24"/>
        </w:rPr>
        <w:t>义，支持显示图表、院徽和电子签名图片。</w:t>
      </w:r>
      <w:r>
        <w:rPr>
          <w:rFonts w:hint="eastAsia" w:ascii="宋体" w:hAnsi="宋体"/>
          <w:sz w:val="24"/>
        </w:rPr>
        <w:t>；</w:t>
      </w:r>
    </w:p>
    <w:p>
      <w:pPr>
        <w:pStyle w:val="11"/>
        <w:numPr>
          <w:ilvl w:val="0"/>
          <w:numId w:val="2"/>
        </w:numPr>
        <w:spacing w:before="62" w:after="62" w:line="360" w:lineRule="auto"/>
        <w:ind w:firstLineChars="0"/>
        <w:rPr>
          <w:rFonts w:hint="eastAsia" w:ascii="宋体" w:hAnsi="宋体"/>
          <w:sz w:val="24"/>
        </w:rPr>
      </w:pPr>
      <w:r>
        <w:rPr>
          <w:rFonts w:hint="eastAsia" w:ascii="宋体" w:hAnsi="宋体"/>
          <w:sz w:val="24"/>
        </w:rPr>
        <w:t>患者及亲属能够通过手机微信完成测评，或在平板电脑完成测评；</w:t>
      </w:r>
    </w:p>
    <w:p>
      <w:pPr>
        <w:pStyle w:val="11"/>
        <w:numPr>
          <w:ilvl w:val="0"/>
          <w:numId w:val="2"/>
        </w:numPr>
        <w:spacing w:before="62" w:after="62" w:line="360" w:lineRule="auto"/>
        <w:ind w:firstLineChars="0"/>
        <w:rPr>
          <w:rFonts w:hint="eastAsia" w:ascii="宋体" w:hAnsi="宋体"/>
          <w:sz w:val="24"/>
        </w:rPr>
      </w:pPr>
      <w:r>
        <w:rPr>
          <w:rFonts w:hint="eastAsia" w:ascii="宋体" w:hAnsi="宋体"/>
          <w:sz w:val="24"/>
        </w:rPr>
        <w:t>在手机查看测评结果，或从自助机打印纸质报告；</w:t>
      </w:r>
    </w:p>
    <w:p>
      <w:pPr>
        <w:pStyle w:val="11"/>
        <w:numPr>
          <w:ilvl w:val="0"/>
          <w:numId w:val="2"/>
        </w:numPr>
        <w:spacing w:before="62" w:after="62" w:line="360" w:lineRule="auto"/>
        <w:ind w:firstLineChars="0"/>
        <w:rPr>
          <w:rFonts w:hint="eastAsia" w:ascii="宋体" w:hAnsi="宋体"/>
          <w:sz w:val="24"/>
        </w:rPr>
      </w:pPr>
      <w:r>
        <w:rPr>
          <w:rFonts w:hint="eastAsia" w:ascii="宋体" w:hAnsi="宋体"/>
          <w:sz w:val="24"/>
        </w:rPr>
        <w:t>医生在门诊系统直接调阅结果。</w:t>
      </w:r>
    </w:p>
    <w:p>
      <w:pPr>
        <w:pStyle w:val="11"/>
        <w:numPr>
          <w:ilvl w:val="0"/>
          <w:numId w:val="2"/>
        </w:numPr>
        <w:spacing w:before="62" w:after="62" w:line="360" w:lineRule="auto"/>
        <w:ind w:firstLineChars="0"/>
        <w:rPr>
          <w:rFonts w:hint="eastAsia" w:ascii="宋体" w:hAnsi="宋体"/>
          <w:sz w:val="24"/>
        </w:rPr>
      </w:pPr>
      <w:r>
        <w:rPr>
          <w:rFonts w:hint="eastAsia" w:ascii="宋体" w:hAnsi="宋体"/>
          <w:sz w:val="24"/>
        </w:rPr>
        <w:t>满足团体体检客户心理测评的需要</w:t>
      </w:r>
    </w:p>
    <w:p>
      <w:pPr>
        <w:pStyle w:val="11"/>
        <w:numPr>
          <w:ilvl w:val="0"/>
          <w:numId w:val="2"/>
        </w:numPr>
        <w:spacing w:before="62" w:after="62" w:line="360" w:lineRule="auto"/>
        <w:ind w:firstLineChars="0"/>
        <w:rPr>
          <w:rFonts w:hint="eastAsia" w:ascii="宋体" w:hAnsi="宋体"/>
          <w:sz w:val="24"/>
        </w:rPr>
      </w:pPr>
      <w:r>
        <w:rPr>
          <w:rFonts w:hint="eastAsia" w:ascii="宋体" w:hAnsi="宋体"/>
          <w:sz w:val="24"/>
        </w:rPr>
        <w:t>具有数据导出功能，满足课题科研需求</w:t>
      </w:r>
    </w:p>
    <w:p>
      <w:pPr>
        <w:pStyle w:val="11"/>
        <w:numPr>
          <w:ilvl w:val="0"/>
          <w:numId w:val="2"/>
        </w:numPr>
        <w:spacing w:before="62" w:after="62" w:line="360" w:lineRule="auto"/>
        <w:ind w:firstLineChars="0"/>
        <w:rPr>
          <w:rFonts w:hint="eastAsia" w:ascii="宋体" w:hAnsi="宋体"/>
          <w:sz w:val="24"/>
        </w:rPr>
      </w:pPr>
      <w:bookmarkStart w:id="0" w:name="_Toc136963186"/>
      <w:r>
        <w:rPr>
          <w:rFonts w:hint="eastAsia" w:ascii="宋体" w:hAnsi="宋体"/>
          <w:sz w:val="24"/>
        </w:rPr>
        <w:t>后台管理</w:t>
      </w:r>
      <w:bookmarkEnd w:id="0"/>
      <w:r>
        <w:rPr>
          <w:rFonts w:hint="eastAsia" w:ascii="宋体" w:hAnsi="宋体"/>
          <w:sz w:val="24"/>
        </w:rPr>
        <w:t>功能，对测评列表状态查询、危急值功能，医生在对相同患者，或不同患者的测评内容和报告可以进行实时比较，以方便医生了解患者的病情进展，或回顾。</w:t>
      </w:r>
    </w:p>
    <w:p>
      <w:pPr>
        <w:pStyle w:val="11"/>
        <w:numPr>
          <w:numId w:val="0"/>
        </w:numPr>
        <w:spacing w:before="62" w:after="62" w:line="360" w:lineRule="auto"/>
        <w:rPr>
          <w:rFonts w:hint="eastAsia" w:ascii="宋体" w:hAnsi="宋体" w:eastAsia="宋体"/>
          <w:sz w:val="24"/>
          <w:lang w:eastAsia="zh-CN"/>
        </w:rPr>
      </w:pPr>
      <w:r>
        <w:rPr>
          <w:rFonts w:hint="eastAsia" w:ascii="宋体" w:hAnsi="宋体"/>
          <w:sz w:val="24"/>
          <w:lang w:eastAsia="zh-CN"/>
        </w:rPr>
        <w:t>商务需求：</w:t>
      </w:r>
    </w:p>
    <w:p>
      <w:pPr>
        <w:pStyle w:val="11"/>
        <w:numPr>
          <w:numId w:val="0"/>
        </w:numPr>
        <w:spacing w:before="62" w:after="62" w:line="360" w:lineRule="auto"/>
        <w:ind w:left="425" w:leftChars="0"/>
        <w:rPr>
          <w:rFonts w:hint="eastAsia" w:ascii="宋体" w:hAnsi="宋体"/>
          <w:sz w:val="24"/>
        </w:rPr>
      </w:pPr>
      <w:r>
        <w:rPr>
          <w:rFonts w:hint="eastAsia" w:ascii="宋体" w:hAnsi="宋体"/>
          <w:sz w:val="24"/>
          <w:lang w:val="en-US" w:eastAsia="zh-CN"/>
        </w:rPr>
        <w:t>1.</w:t>
      </w:r>
      <w:r>
        <w:rPr>
          <w:rFonts w:hint="eastAsia" w:ascii="宋体" w:hAnsi="宋体"/>
          <w:sz w:val="24"/>
        </w:rPr>
        <w:t>本项目为采购人的智慧医院信息化建设的子项目，本项目为交钥匙工程，投标价应为人民币含税全包价，投标价格为固定价格，包括但不限于以下费用：</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rPr>
        <w:t>（1）完整的产品软件、技术文件的费用、系统的设计、开发测试、安装调试技术服务费用及所发生相应的费用；</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rPr>
        <w:t>（2）软件永久许可使用费；</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rPr>
        <w:t>（3）质保期内的服务费用和升级改造费用；</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rPr>
        <w:t>（4）系统培训、验收、售后服务、智慧医院建设目标测评所需的费用及相关服务等一切费用；</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rPr>
        <w:t>（5）与医院信息系统间的接口开发、对接医院现有信息系统及日后智慧医院信息系统接入平台升级改造涉及的所有费用均由中标人支付，确保项目达到智慧项目目标，采购人不再支付任何其他费用；</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rPr>
        <w:t>（7）为完成本项目义务所需支付的其他费用。</w:t>
      </w:r>
    </w:p>
    <w:p>
      <w:pPr>
        <w:pStyle w:val="11"/>
        <w:numPr>
          <w:ilvl w:val="0"/>
          <w:numId w:val="0"/>
        </w:numPr>
        <w:spacing w:before="62" w:after="62" w:line="360" w:lineRule="auto"/>
        <w:ind w:left="425" w:leftChars="0"/>
        <w:rPr>
          <w:rFonts w:hint="eastAsia" w:ascii="宋体" w:hAnsi="宋体"/>
          <w:sz w:val="24"/>
        </w:rPr>
      </w:pPr>
      <w:r>
        <w:rPr>
          <w:rFonts w:hint="eastAsia" w:ascii="宋体" w:hAnsi="宋体"/>
          <w:sz w:val="24"/>
          <w:lang w:val="en-US" w:eastAsia="zh-CN"/>
        </w:rPr>
        <w:t>2.</w:t>
      </w:r>
      <w:r>
        <w:rPr>
          <w:rFonts w:hint="eastAsia" w:ascii="宋体" w:hAnsi="宋体"/>
          <w:sz w:val="24"/>
        </w:rPr>
        <w:t>免费维保期不少于2年，维保期结束后维保费用不超合同总价7%</w:t>
      </w:r>
    </w:p>
    <w:p>
      <w:pPr>
        <w:pStyle w:val="11"/>
        <w:numPr>
          <w:ilvl w:val="0"/>
          <w:numId w:val="0"/>
        </w:numPr>
        <w:spacing w:before="62" w:after="62" w:line="360" w:lineRule="auto"/>
        <w:ind w:left="425" w:leftChars="0"/>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E01DD"/>
    <w:multiLevelType w:val="multilevel"/>
    <w:tmpl w:val="544E01DD"/>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92633CB"/>
    <w:multiLevelType w:val="multilevel"/>
    <w:tmpl w:val="692633CB"/>
    <w:lvl w:ilvl="0" w:tentative="0">
      <w:start w:val="1"/>
      <w:numFmt w:val="decimal"/>
      <w:pStyle w:val="2"/>
      <w:lvlText w:val="第%1章"/>
      <w:lvlJc w:val="left"/>
      <w:pPr>
        <w:tabs>
          <w:tab w:val="left" w:pos="5394"/>
        </w:tabs>
        <w:ind w:left="5394" w:hanging="432"/>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3"/>
      <w:isLgl/>
      <w:lvlText w:val="%1.%2."/>
      <w:lvlJc w:val="left"/>
      <w:pPr>
        <w:tabs>
          <w:tab w:val="left" w:pos="575"/>
        </w:tabs>
        <w:ind w:left="575" w:hanging="575"/>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4"/>
      <w:isLgl/>
      <w:lvlText w:val="%1.%2.%3."/>
      <w:lvlJc w:val="left"/>
      <w:pPr>
        <w:tabs>
          <w:tab w:val="left" w:pos="1430"/>
        </w:tabs>
        <w:ind w:left="1430" w:hanging="7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isLgl/>
      <w:lvlText w:val="%1.%2.%3.%4."/>
      <w:lvlJc w:val="left"/>
      <w:pPr>
        <w:tabs>
          <w:tab w:val="left" w:pos="1006"/>
        </w:tabs>
        <w:ind w:left="1006" w:hanging="864"/>
      </w:pPr>
      <w:rPr>
        <w:rFonts w:ascii="宋体" w:hAnsi="宋体" w:eastAsia="宋体"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isLgl/>
      <w:lvlText w:val="%1.%2.%3.%4.%5."/>
      <w:lvlJc w:val="left"/>
      <w:pPr>
        <w:tabs>
          <w:tab w:val="left" w:pos="1576"/>
        </w:tabs>
        <w:ind w:left="1576" w:hanging="1008"/>
      </w:pPr>
      <w:rPr>
        <w:rFonts w:hint="eastAsia" w:ascii="宋体" w:hAnsi="宋体" w:eastAsia="宋体"/>
      </w:rPr>
    </w:lvl>
    <w:lvl w:ilvl="5" w:tentative="0">
      <w:start w:val="1"/>
      <w:numFmt w:val="decimal"/>
      <w:isLgl/>
      <w:lvlText w:val="%1.%2.%3.%4.%5.%6."/>
      <w:lvlJc w:val="left"/>
      <w:pPr>
        <w:tabs>
          <w:tab w:val="left" w:pos="1719"/>
        </w:tabs>
        <w:ind w:left="1719" w:hanging="1151"/>
      </w:pPr>
      <w:rPr>
        <w:rFonts w:hint="eastAsia" w:ascii="宋体" w:hAnsi="宋体" w:eastAsia="宋体"/>
      </w:rPr>
    </w:lvl>
    <w:lvl w:ilvl="6" w:tentative="0">
      <w:start w:val="1"/>
      <w:numFmt w:val="decimal"/>
      <w:lvlText w:val="%1.%2.%3.%4.%5.%6.%7."/>
      <w:lvlJc w:val="left"/>
      <w:pPr>
        <w:tabs>
          <w:tab w:val="left" w:pos="1864"/>
        </w:tabs>
        <w:ind w:left="1864" w:hanging="1296"/>
      </w:pPr>
      <w:rPr>
        <w:rFonts w:hint="eastAsia" w:ascii="宋体" w:hAnsi="宋体" w:eastAsia="宋体"/>
      </w:rPr>
    </w:lvl>
    <w:lvl w:ilvl="7" w:tentative="0">
      <w:start w:val="1"/>
      <w:numFmt w:val="decimal"/>
      <w:lvlText w:val="%1.%2.%3.%4.%5.%6.%7.%8."/>
      <w:lvlJc w:val="left"/>
      <w:pPr>
        <w:tabs>
          <w:tab w:val="left" w:pos="2008"/>
        </w:tabs>
        <w:ind w:left="2008" w:hanging="1440"/>
      </w:pPr>
      <w:rPr>
        <w:rFonts w:ascii="宋体" w:hAnsi="宋体" w:eastAsia="宋体"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8" w:tentative="0">
      <w:start w:val="1"/>
      <w:numFmt w:val="decimal"/>
      <w:lvlText w:val="%1.%2.%3.%4.%5.%6.%7.%8.%9."/>
      <w:lvlJc w:val="left"/>
      <w:pPr>
        <w:tabs>
          <w:tab w:val="left" w:pos="2151"/>
        </w:tabs>
        <w:ind w:left="2151" w:hanging="158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DMwZjE0OTM2MTQxZDEyODEzMDE4ZThkMjExN2UifQ=="/>
  </w:docVars>
  <w:rsids>
    <w:rsidRoot w:val="003B4C73"/>
    <w:rsid w:val="000C043B"/>
    <w:rsid w:val="003B4C73"/>
    <w:rsid w:val="00491B8B"/>
    <w:rsid w:val="00502D74"/>
    <w:rsid w:val="006B4669"/>
    <w:rsid w:val="00AC360B"/>
    <w:rsid w:val="00B47A2A"/>
    <w:rsid w:val="00CC581E"/>
    <w:rsid w:val="33914C0C"/>
    <w:rsid w:val="394A59F5"/>
    <w:rsid w:val="42F6139F"/>
    <w:rsid w:val="733C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0"/>
      <w:lang w:val="en-US" w:eastAsia="zh-CN" w:bidi="ar-SA"/>
      <w14:ligatures w14:val="none"/>
    </w:rPr>
  </w:style>
  <w:style w:type="paragraph" w:styleId="2">
    <w:name w:val="heading 1"/>
    <w:basedOn w:val="1"/>
    <w:next w:val="1"/>
    <w:link w:val="13"/>
    <w:qFormat/>
    <w:uiPriority w:val="9"/>
    <w:pPr>
      <w:keepNext/>
      <w:keepLines/>
      <w:numPr>
        <w:ilvl w:val="0"/>
        <w:numId w:val="1"/>
      </w:numPr>
      <w:spacing w:before="240" w:after="240" w:line="360" w:lineRule="auto"/>
      <w:jc w:val="left"/>
      <w:outlineLvl w:val="0"/>
    </w:pPr>
    <w:rPr>
      <w:rFonts w:ascii="宋体" w:hAnsi="宋体"/>
      <w:b/>
      <w:kern w:val="44"/>
      <w:sz w:val="44"/>
    </w:rPr>
  </w:style>
  <w:style w:type="paragraph" w:styleId="3">
    <w:name w:val="heading 2"/>
    <w:basedOn w:val="1"/>
    <w:next w:val="1"/>
    <w:link w:val="14"/>
    <w:qFormat/>
    <w:uiPriority w:val="9"/>
    <w:pPr>
      <w:numPr>
        <w:ilvl w:val="1"/>
        <w:numId w:val="1"/>
      </w:numPr>
      <w:autoSpaceDE w:val="0"/>
      <w:autoSpaceDN w:val="0"/>
      <w:adjustRightInd w:val="0"/>
      <w:spacing w:beforeLines="50" w:afterLines="50" w:line="360" w:lineRule="auto"/>
      <w:jc w:val="left"/>
      <w:outlineLvl w:val="1"/>
    </w:pPr>
    <w:rPr>
      <w:rFonts w:ascii="宋体" w:hAnsi="宋体"/>
      <w:b/>
      <w:color w:val="000000"/>
      <w:kern w:val="0"/>
      <w:sz w:val="36"/>
    </w:rPr>
  </w:style>
  <w:style w:type="paragraph" w:styleId="4">
    <w:name w:val="heading 3"/>
    <w:basedOn w:val="1"/>
    <w:next w:val="1"/>
    <w:link w:val="15"/>
    <w:qFormat/>
    <w:uiPriority w:val="0"/>
    <w:pPr>
      <w:numPr>
        <w:ilvl w:val="2"/>
        <w:numId w:val="1"/>
      </w:numPr>
      <w:autoSpaceDE w:val="0"/>
      <w:autoSpaceDN w:val="0"/>
      <w:adjustRightInd w:val="0"/>
      <w:spacing w:beforeLines="50" w:afterLines="50" w:line="360" w:lineRule="auto"/>
      <w:ind w:right="50" w:rightChars="50"/>
      <w:jc w:val="left"/>
      <w:outlineLvl w:val="2"/>
    </w:pPr>
    <w:rPr>
      <w:rFonts w:ascii="宋体" w:hAnsi="宋体"/>
      <w:b/>
      <w:color w:val="000000"/>
      <w:kern w:val="0"/>
      <w:sz w:val="32"/>
      <w:lang w:val="en-G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link w:val="12"/>
    <w:qFormat/>
    <w:uiPriority w:val="99"/>
    <w:pPr>
      <w:spacing w:beforeLines="20" w:afterLines="20" w:line="300" w:lineRule="auto"/>
      <w:ind w:firstLine="420" w:firstLineChars="200"/>
    </w:pPr>
    <w:rPr>
      <w:sz w:val="21"/>
      <w:szCs w:val="24"/>
    </w:rPr>
  </w:style>
  <w:style w:type="character" w:customStyle="1" w:styleId="12">
    <w:name w:val="列出段落 Char"/>
    <w:link w:val="11"/>
    <w:qFormat/>
    <w:uiPriority w:val="99"/>
    <w:rPr>
      <w:rFonts w:ascii="Times New Roman" w:hAnsi="Times New Roman" w:eastAsia="宋体" w:cs="Times New Roman"/>
      <w:szCs w:val="24"/>
      <w14:ligatures w14:val="none"/>
    </w:rPr>
  </w:style>
  <w:style w:type="character" w:customStyle="1" w:styleId="13">
    <w:name w:val="标题 1 Char"/>
    <w:basedOn w:val="8"/>
    <w:link w:val="2"/>
    <w:qFormat/>
    <w:uiPriority w:val="9"/>
    <w:rPr>
      <w:rFonts w:ascii="宋体" w:hAnsi="宋体" w:eastAsia="宋体" w:cs="Times New Roman"/>
      <w:b/>
      <w:kern w:val="44"/>
      <w:sz w:val="44"/>
      <w:szCs w:val="20"/>
      <w14:ligatures w14:val="none"/>
    </w:rPr>
  </w:style>
  <w:style w:type="character" w:customStyle="1" w:styleId="14">
    <w:name w:val="标题 2 Char"/>
    <w:basedOn w:val="8"/>
    <w:link w:val="3"/>
    <w:qFormat/>
    <w:uiPriority w:val="9"/>
    <w:rPr>
      <w:rFonts w:ascii="宋体" w:hAnsi="宋体" w:eastAsia="宋体" w:cs="Times New Roman"/>
      <w:b/>
      <w:color w:val="000000"/>
      <w:kern w:val="0"/>
      <w:sz w:val="36"/>
      <w:szCs w:val="20"/>
      <w14:ligatures w14:val="none"/>
    </w:rPr>
  </w:style>
  <w:style w:type="character" w:customStyle="1" w:styleId="15">
    <w:name w:val="标题 3 Char"/>
    <w:basedOn w:val="8"/>
    <w:link w:val="4"/>
    <w:qFormat/>
    <w:uiPriority w:val="0"/>
    <w:rPr>
      <w:rFonts w:ascii="宋体" w:hAnsi="宋体" w:eastAsia="宋体" w:cs="Times New Roman"/>
      <w:b/>
      <w:color w:val="000000"/>
      <w:kern w:val="0"/>
      <w:sz w:val="32"/>
      <w:szCs w:val="20"/>
      <w:lang w:val="en-GB"/>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877</Characters>
  <Lines>6</Lines>
  <Paragraphs>1</Paragraphs>
  <TotalTime>17</TotalTime>
  <ScaleCrop>false</ScaleCrop>
  <LinksUpToDate>false</LinksUpToDate>
  <CharactersWithSpaces>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2023-09-03T09:21:00Z</dcterms:created>
  <dc:creator>YE MURONG</dc:creator>
  <cp:lastModifiedBy>1</cp:lastModifiedBy>
  <dcterms:modified xsi:type="dcterms:W3CDTF">2023-09-08T00:12:15Z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9360264EFB0D4668A6ED2711E6C3257F_12</vt:lpwstr>
  </property>
</Properties>
</file>