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b/>
          <w:bCs/>
          <w:sz w:val="36"/>
          <w:szCs w:val="36"/>
          <w:lang w:val="en-US" w:eastAsia="zh-CN"/>
        </w:rPr>
      </w:pPr>
      <w:r>
        <w:rPr>
          <w:rFonts w:hint="eastAsia" w:ascii="宋体" w:hAnsi="宋体" w:eastAsia="宋体"/>
          <w:b/>
          <w:bCs/>
          <w:sz w:val="36"/>
          <w:szCs w:val="36"/>
          <w:lang w:val="en-US" w:eastAsia="zh-CN"/>
        </w:rPr>
        <w:t>中山市中医院</w:t>
      </w:r>
      <w:r>
        <w:rPr>
          <w:rFonts w:hint="eastAsia" w:ascii="宋体" w:hAnsi="宋体" w:eastAsia="宋体"/>
          <w:b/>
          <w:bCs/>
          <w:sz w:val="36"/>
          <w:szCs w:val="36"/>
        </w:rPr>
        <w:t>老年综合评估系统</w:t>
      </w:r>
      <w:r>
        <w:rPr>
          <w:rFonts w:hint="eastAsia" w:ascii="宋体" w:hAnsi="宋体" w:eastAsia="宋体"/>
          <w:b/>
          <w:bCs/>
          <w:sz w:val="36"/>
          <w:szCs w:val="36"/>
          <w:lang w:val="en-US" w:eastAsia="zh-CN"/>
        </w:rPr>
        <w:t>需求</w:t>
      </w:r>
    </w:p>
    <w:p>
      <w:pPr>
        <w:spacing w:line="360" w:lineRule="auto"/>
        <w:rPr>
          <w:rFonts w:hint="eastAsia" w:ascii="宋体" w:hAnsi="宋体" w:eastAsia="宋体"/>
          <w:sz w:val="24"/>
          <w:szCs w:val="24"/>
          <w:lang w:eastAsia="zh-CN"/>
        </w:rPr>
      </w:pPr>
      <w:r>
        <w:rPr>
          <w:rFonts w:hint="eastAsia" w:ascii="宋体" w:hAnsi="宋体" w:eastAsia="宋体"/>
          <w:sz w:val="24"/>
          <w:szCs w:val="24"/>
          <w:lang w:val="en-US" w:eastAsia="zh-CN"/>
        </w:rPr>
        <w:t>一、项目技术参数</w:t>
      </w:r>
      <w:r>
        <w:rPr>
          <w:rFonts w:hint="eastAsia" w:ascii="宋体" w:hAnsi="宋体" w:eastAsia="宋体"/>
          <w:sz w:val="24"/>
          <w:szCs w:val="24"/>
        </w:rPr>
        <w:t>需求</w:t>
      </w:r>
      <w:r>
        <w:rPr>
          <w:rFonts w:hint="eastAsia" w:ascii="宋体" w:hAnsi="宋体" w:eastAsia="宋体"/>
          <w:sz w:val="24"/>
          <w:szCs w:val="24"/>
          <w:lang w:eastAsia="zh-CN"/>
        </w:rPr>
        <w:t>：</w:t>
      </w:r>
    </w:p>
    <w:p>
      <w:pPr>
        <w:spacing w:line="360" w:lineRule="auto"/>
        <w:rPr>
          <w:rFonts w:hint="eastAsia" w:ascii="宋体" w:hAnsi="宋体" w:eastAsia="宋体"/>
          <w:sz w:val="24"/>
          <w:szCs w:val="24"/>
        </w:rPr>
      </w:pPr>
      <w:r>
        <w:rPr>
          <w:rFonts w:hint="eastAsia" w:ascii="宋体" w:hAnsi="宋体" w:eastAsia="宋体"/>
          <w:sz w:val="24"/>
          <w:szCs w:val="24"/>
        </w:rPr>
        <w:t>1.多场景应用：老年综合评估系统适用于全科的老年患者，至少能在门诊、住院与体检中心全场景开展；</w:t>
      </w:r>
    </w:p>
    <w:p>
      <w:pPr>
        <w:spacing w:line="360" w:lineRule="auto"/>
        <w:rPr>
          <w:rFonts w:hint="eastAsia" w:ascii="宋体" w:hAnsi="宋体" w:eastAsia="宋体"/>
          <w:sz w:val="24"/>
          <w:szCs w:val="24"/>
        </w:rPr>
      </w:pPr>
      <w:r>
        <w:rPr>
          <w:rFonts w:hint="eastAsia" w:ascii="宋体" w:hAnsi="宋体" w:eastAsia="宋体"/>
          <w:sz w:val="24"/>
          <w:szCs w:val="24"/>
        </w:rPr>
        <w:t>2.评估内容涵盖2017年《中国老年综合评估技术应用专家共识》17项评估内容，使用量表为国内公认的常用可信量表。</w:t>
      </w:r>
    </w:p>
    <w:p>
      <w:pPr>
        <w:spacing w:line="360" w:lineRule="auto"/>
        <w:rPr>
          <w:rFonts w:hint="eastAsia" w:ascii="宋体" w:hAnsi="宋体" w:eastAsia="宋体"/>
          <w:sz w:val="24"/>
          <w:szCs w:val="24"/>
        </w:rPr>
      </w:pPr>
      <w:r>
        <w:rPr>
          <w:rFonts w:hint="eastAsia" w:ascii="宋体" w:hAnsi="宋体" w:eastAsia="宋体"/>
          <w:sz w:val="24"/>
          <w:szCs w:val="24"/>
        </w:rPr>
        <w:t>3.可综合量表的评估结果报告，实时、高效、准确针对不同评估结果的老年患者做出对应建议，连续性的评估资料有对比并作出相应的建议。</w:t>
      </w:r>
    </w:p>
    <w:p>
      <w:pPr>
        <w:spacing w:line="360" w:lineRule="auto"/>
        <w:rPr>
          <w:rFonts w:hint="eastAsia" w:ascii="宋体" w:hAnsi="宋体" w:eastAsia="宋体"/>
          <w:sz w:val="24"/>
          <w:szCs w:val="24"/>
        </w:rPr>
      </w:pPr>
      <w:r>
        <w:rPr>
          <w:rFonts w:hint="eastAsia" w:ascii="宋体" w:hAnsi="宋体" w:eastAsia="宋体"/>
          <w:sz w:val="24"/>
          <w:szCs w:val="24"/>
        </w:rPr>
        <w:t>4.集成老年患者健康功能评估数据库功能，能实时将评估数据上传至数据库，数据可进行统一管理及科研使用。</w:t>
      </w:r>
    </w:p>
    <w:p>
      <w:pPr>
        <w:spacing w:line="360" w:lineRule="auto"/>
        <w:rPr>
          <w:rFonts w:hint="eastAsia" w:ascii="宋体" w:hAnsi="宋体" w:eastAsia="宋体"/>
          <w:sz w:val="24"/>
          <w:szCs w:val="24"/>
        </w:rPr>
      </w:pPr>
      <w:r>
        <w:rPr>
          <w:rFonts w:hint="eastAsia" w:ascii="宋体" w:hAnsi="宋体" w:eastAsia="宋体"/>
          <w:sz w:val="24"/>
          <w:szCs w:val="24"/>
        </w:rPr>
        <w:t>5.可接入医院HIS系统，评估报告和建议可编辑；评估便捷打印接口。</w:t>
      </w:r>
    </w:p>
    <w:p>
      <w:pPr>
        <w:spacing w:line="360" w:lineRule="auto"/>
        <w:rPr>
          <w:rFonts w:hint="eastAsia" w:ascii="宋体" w:hAnsi="宋体" w:eastAsia="宋体"/>
          <w:sz w:val="24"/>
          <w:szCs w:val="24"/>
        </w:rPr>
      </w:pPr>
      <w:r>
        <w:rPr>
          <w:rFonts w:hint="eastAsia" w:ascii="宋体" w:hAnsi="宋体" w:eastAsia="宋体"/>
          <w:sz w:val="24"/>
          <w:szCs w:val="24"/>
        </w:rPr>
        <w:t>6.有管理和评估质控模块，可进行全局管理、数据提取及对评估质量评分；带消息提醒功能，对下一阶段评估提醒。</w:t>
      </w:r>
    </w:p>
    <w:p>
      <w:pPr>
        <w:spacing w:line="360" w:lineRule="auto"/>
        <w:rPr>
          <w:rFonts w:hint="eastAsia" w:ascii="宋体" w:hAnsi="宋体" w:eastAsia="宋体"/>
          <w:sz w:val="24"/>
          <w:szCs w:val="24"/>
        </w:rPr>
      </w:pPr>
      <w:r>
        <w:rPr>
          <w:rFonts w:hint="eastAsia" w:ascii="宋体" w:hAnsi="宋体" w:eastAsia="宋体"/>
          <w:sz w:val="24"/>
          <w:szCs w:val="24"/>
        </w:rPr>
        <w:t>7.完全自主知识产权，有专业软件工程师定期系统维护及升级。</w:t>
      </w:r>
    </w:p>
    <w:tbl>
      <w:tblPr>
        <w:tblStyle w:val="6"/>
        <w:tblpPr w:leftFromText="180" w:rightFromText="180" w:vertAnchor="text" w:horzAnchor="page" w:tblpXSpec="center" w:tblpY="2204"/>
        <w:tblOverlap w:val="never"/>
        <w:tblW w:w="0" w:type="auto"/>
        <w:jc w:val="center"/>
        <w:tblLayout w:type="autofit"/>
        <w:tblCellMar>
          <w:top w:w="0" w:type="dxa"/>
          <w:left w:w="108" w:type="dxa"/>
          <w:bottom w:w="0" w:type="dxa"/>
          <w:right w:w="108" w:type="dxa"/>
        </w:tblCellMar>
      </w:tblPr>
      <w:tblGrid>
        <w:gridCol w:w="8522"/>
      </w:tblGrid>
      <w:tr>
        <w:tblPrEx>
          <w:tblCellMar>
            <w:top w:w="0" w:type="dxa"/>
            <w:left w:w="108" w:type="dxa"/>
            <w:bottom w:w="0" w:type="dxa"/>
            <w:right w:w="108" w:type="dxa"/>
          </w:tblCellMar>
        </w:tblPrEx>
        <w:trPr>
          <w:trHeight w:val="495" w:hRule="atLeast"/>
          <w:jc w:val="center"/>
        </w:trPr>
        <w:tc>
          <w:tcPr>
            <w:tcW w:w="8522" w:type="dxa"/>
            <w:tcBorders>
              <w:top w:val="single" w:color="auto" w:sz="4" w:space="0"/>
              <w:left w:val="nil"/>
              <w:bottom w:val="nil"/>
              <w:right w:val="nil"/>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项目基本要求</w:t>
            </w:r>
          </w:p>
        </w:tc>
      </w:tr>
      <w:tr>
        <w:tblPrEx>
          <w:tblCellMar>
            <w:top w:w="0" w:type="dxa"/>
            <w:left w:w="108" w:type="dxa"/>
            <w:bottom w:w="0" w:type="dxa"/>
            <w:right w:w="108" w:type="dxa"/>
          </w:tblCellMar>
        </w:tblPrEx>
        <w:trPr>
          <w:trHeight w:val="63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1、投标人提供产品应满足如下标准：</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（1）《电子病历系统功能应用水平分级评价方法及标准》六级以上</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（2）《医院信息互联互通标准化成熟度测评方案》四级甲等以上</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（3）《医院智慧服务分级评估标准体系》三级以上</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（4）《医院智慧管理分级评估标准体系》三级以上</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（5）《信息安全技术网络安全等级保护基本要求》三级</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（6）《医院信息系统基本功能规范》</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（7）《中医医院信息系统基本功能规范》</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（8）《全国医院信息化建设标准与规范》</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（9）《卫生系统电子认证服务规范》</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（10）《三级中医医院评审标准》</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（11）《信息安全技术个人信息安全规范》</w:t>
            </w:r>
          </w:p>
        </w:tc>
      </w:tr>
      <w:tr>
        <w:tblPrEx>
          <w:tblCellMar>
            <w:top w:w="0" w:type="dxa"/>
            <w:left w:w="108" w:type="dxa"/>
            <w:bottom w:w="0" w:type="dxa"/>
            <w:right w:w="108" w:type="dxa"/>
          </w:tblCellMar>
        </w:tblPrEx>
        <w:trPr>
          <w:trHeight w:val="750" w:hRule="atLeast"/>
          <w:jc w:val="center"/>
        </w:trPr>
        <w:tc>
          <w:tcPr>
            <w:tcW w:w="8522" w:type="dxa"/>
            <w:tcBorders>
              <w:top w:val="nil"/>
              <w:left w:val="nil"/>
              <w:bottom w:val="nil"/>
              <w:right w:val="nil"/>
            </w:tcBorders>
            <w:shd w:val="clear" w:color="auto" w:fill="auto"/>
            <w:noWrap/>
            <w:vAlign w:val="center"/>
          </w:tcPr>
          <w:p>
            <w:pPr>
              <w:spacing w:line="360" w:lineRule="auto"/>
              <w:rPr>
                <w:rFonts w:hint="eastAsia" w:ascii="宋体" w:hAnsi="宋体" w:eastAsia="宋体" w:cs="Helvetica"/>
                <w:color w:val="3E3E3E"/>
                <w:sz w:val="24"/>
                <w:szCs w:val="24"/>
              </w:rPr>
            </w:pPr>
            <w:r>
              <w:rPr>
                <w:rFonts w:hint="eastAsia" w:ascii="宋体" w:hAnsi="宋体" w:eastAsia="宋体" w:cs="Helvetica"/>
                <w:color w:val="3E3E3E"/>
                <w:sz w:val="24"/>
                <w:szCs w:val="24"/>
              </w:rPr>
              <w:t>（12）所有系统能够按照相关标准（和/或甲方要求）由供应商免费接入医院信息集成平台。</w:t>
            </w:r>
          </w:p>
        </w:tc>
      </w:tr>
    </w:tbl>
    <w:p>
      <w:pPr>
        <w:widowControl/>
        <w:jc w:val="left"/>
        <w:rPr>
          <w:rFonts w:hint="eastAsia" w:ascii="仿宋" w:hAnsi="仿宋" w:eastAsia="仿宋" w:cs="仿宋"/>
          <w:szCs w:val="21"/>
        </w:rPr>
      </w:pPr>
    </w:p>
    <w:p>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Helvetica"/>
          <w:color w:val="3E3E3E"/>
          <w:kern w:val="2"/>
          <w:sz w:val="24"/>
          <w:szCs w:val="24"/>
          <w:lang w:val="en-US" w:eastAsia="zh-CN" w:bidi="ar-SA"/>
        </w:rPr>
      </w:pPr>
      <w:r>
        <w:rPr>
          <w:rFonts w:hint="eastAsia" w:ascii="宋体" w:hAnsi="宋体" w:eastAsia="宋体" w:cs="Helvetica"/>
          <w:color w:val="3E3E3E"/>
          <w:kern w:val="2"/>
          <w:sz w:val="24"/>
          <w:szCs w:val="24"/>
          <w:lang w:val="en-US" w:eastAsia="zh-CN" w:bidi="ar-SA"/>
        </w:rPr>
        <w:t>二、</w:t>
      </w:r>
      <w:bookmarkStart w:id="0" w:name="_GoBack"/>
      <w:bookmarkEnd w:id="0"/>
      <w:r>
        <w:rPr>
          <w:rFonts w:hint="eastAsia" w:ascii="宋体" w:hAnsi="宋体" w:eastAsia="宋体" w:cs="Helvetica"/>
          <w:color w:val="3E3E3E"/>
          <w:kern w:val="2"/>
          <w:sz w:val="24"/>
          <w:szCs w:val="24"/>
          <w:lang w:val="en-US" w:eastAsia="zh-CN" w:bidi="ar-SA"/>
        </w:rPr>
        <w:t>商务需求：</w:t>
      </w:r>
    </w:p>
    <w:p>
      <w:pPr>
        <w:spacing w:line="360" w:lineRule="auto"/>
        <w:rPr>
          <w:rFonts w:hint="eastAsia" w:ascii="宋体" w:hAnsi="宋体" w:eastAsia="宋体"/>
          <w:sz w:val="24"/>
          <w:szCs w:val="24"/>
          <w:lang w:val="en-US" w:eastAsia="zh-CN"/>
        </w:rPr>
      </w:pPr>
      <w:r>
        <w:rPr>
          <w:rFonts w:hint="eastAsia" w:ascii="宋体" w:hAnsi="宋体" w:eastAsia="宋体"/>
          <w:sz w:val="24"/>
          <w:szCs w:val="24"/>
          <w:lang w:val="en-US" w:eastAsia="zh-CN"/>
        </w:rPr>
        <w:t>1.本项目为采购人的智慧医院信息化建设的子项目，本项目为交钥匙工程，投标价应为人民币含税全包价，投标价格为固定价格，包括但不限于以下费用：</w:t>
      </w:r>
    </w:p>
    <w:p>
      <w:pPr>
        <w:spacing w:line="360" w:lineRule="auto"/>
        <w:rPr>
          <w:rFonts w:hint="eastAsia" w:ascii="宋体" w:hAnsi="宋体" w:eastAsia="宋体"/>
          <w:sz w:val="24"/>
          <w:szCs w:val="24"/>
          <w:lang w:val="en-US" w:eastAsia="zh-CN"/>
        </w:rPr>
      </w:pPr>
      <w:r>
        <w:rPr>
          <w:rFonts w:hint="eastAsia" w:ascii="宋体" w:hAnsi="宋体" w:eastAsia="宋体"/>
          <w:sz w:val="24"/>
          <w:szCs w:val="24"/>
          <w:lang w:val="en-US" w:eastAsia="zh-CN"/>
        </w:rPr>
        <w:t>（1）完整的产品软件、技术文件的费用、系统的设计、开发测试、安装调试技术服务费用及所发生相应的费用；</w:t>
      </w:r>
    </w:p>
    <w:p>
      <w:pPr>
        <w:spacing w:line="360" w:lineRule="auto"/>
        <w:rPr>
          <w:rFonts w:hint="eastAsia" w:ascii="宋体" w:hAnsi="宋体" w:eastAsia="宋体"/>
          <w:sz w:val="24"/>
          <w:szCs w:val="24"/>
          <w:lang w:val="en-US" w:eastAsia="zh-CN"/>
        </w:rPr>
      </w:pPr>
      <w:r>
        <w:rPr>
          <w:rFonts w:hint="eastAsia" w:ascii="宋体" w:hAnsi="宋体" w:eastAsia="宋体"/>
          <w:sz w:val="24"/>
          <w:szCs w:val="24"/>
          <w:lang w:val="en-US" w:eastAsia="zh-CN"/>
        </w:rPr>
        <w:t>（2）软件永久许可使用费；</w:t>
      </w:r>
    </w:p>
    <w:p>
      <w:pPr>
        <w:spacing w:line="360" w:lineRule="auto"/>
        <w:rPr>
          <w:rFonts w:hint="eastAsia" w:ascii="宋体" w:hAnsi="宋体" w:eastAsia="宋体"/>
          <w:sz w:val="24"/>
          <w:szCs w:val="24"/>
          <w:lang w:val="en-US" w:eastAsia="zh-CN"/>
        </w:rPr>
      </w:pPr>
      <w:r>
        <w:rPr>
          <w:rFonts w:hint="eastAsia" w:ascii="宋体" w:hAnsi="宋体" w:eastAsia="宋体"/>
          <w:sz w:val="24"/>
          <w:szCs w:val="24"/>
          <w:lang w:val="en-US" w:eastAsia="zh-CN"/>
        </w:rPr>
        <w:t>（3）质保期内的服务费用和升级改造费用；</w:t>
      </w:r>
    </w:p>
    <w:p>
      <w:pPr>
        <w:spacing w:line="360" w:lineRule="auto"/>
        <w:rPr>
          <w:rFonts w:hint="eastAsia" w:ascii="宋体" w:hAnsi="宋体" w:eastAsia="宋体"/>
          <w:sz w:val="24"/>
          <w:szCs w:val="24"/>
          <w:lang w:val="en-US" w:eastAsia="zh-CN"/>
        </w:rPr>
      </w:pPr>
      <w:r>
        <w:rPr>
          <w:rFonts w:hint="eastAsia" w:ascii="宋体" w:hAnsi="宋体" w:eastAsia="宋体"/>
          <w:sz w:val="24"/>
          <w:szCs w:val="24"/>
          <w:lang w:val="en-US" w:eastAsia="zh-CN"/>
        </w:rPr>
        <w:t>（4）系统培训、验收、售后服务、智慧医院建设目标测评所需的费用及相关服务等一切费用；</w:t>
      </w:r>
    </w:p>
    <w:p>
      <w:pPr>
        <w:spacing w:line="360" w:lineRule="auto"/>
        <w:rPr>
          <w:rFonts w:hint="eastAsia" w:ascii="宋体" w:hAnsi="宋体" w:eastAsia="宋体"/>
          <w:sz w:val="24"/>
          <w:szCs w:val="24"/>
          <w:lang w:val="en-US" w:eastAsia="zh-CN"/>
        </w:rPr>
      </w:pPr>
      <w:r>
        <w:rPr>
          <w:rFonts w:hint="eastAsia" w:ascii="宋体" w:hAnsi="宋体" w:eastAsia="宋体"/>
          <w:sz w:val="24"/>
          <w:szCs w:val="24"/>
          <w:lang w:val="en-US" w:eastAsia="zh-CN"/>
        </w:rPr>
        <w:t>（5）与医院信息系统间的接口开发、对接医院现有信息系统及日后智慧医院信息系统接入平台升级改造涉及的所有费用均由中标人支付，确保项目达到智慧项目目标，采购人不再支付任何其他费用；</w:t>
      </w:r>
    </w:p>
    <w:p>
      <w:pPr>
        <w:spacing w:line="360" w:lineRule="auto"/>
        <w:rPr>
          <w:rFonts w:hint="eastAsia" w:ascii="宋体" w:hAnsi="宋体" w:eastAsia="宋体"/>
          <w:sz w:val="24"/>
          <w:szCs w:val="24"/>
          <w:lang w:val="en-US" w:eastAsia="zh-CN"/>
        </w:rPr>
      </w:pPr>
      <w:r>
        <w:rPr>
          <w:rFonts w:hint="eastAsia" w:ascii="宋体" w:hAnsi="宋体" w:eastAsia="宋体"/>
          <w:sz w:val="24"/>
          <w:szCs w:val="24"/>
          <w:lang w:val="en-US" w:eastAsia="zh-CN"/>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Helvetica"/>
          <w:color w:val="3E3E3E"/>
          <w:kern w:val="2"/>
          <w:sz w:val="24"/>
          <w:szCs w:val="24"/>
          <w:lang w:val="en-US" w:eastAsia="zh-CN" w:bidi="ar-SA"/>
        </w:rPr>
      </w:pPr>
      <w:r>
        <w:rPr>
          <w:rFonts w:hint="eastAsia" w:ascii="宋体" w:hAnsi="宋体" w:eastAsia="宋体" w:cs="Helvetica"/>
          <w:color w:val="3E3E3E"/>
          <w:kern w:val="2"/>
          <w:sz w:val="24"/>
          <w:szCs w:val="24"/>
          <w:lang w:val="en-US" w:eastAsia="zh-CN" w:bidi="ar-SA"/>
        </w:rPr>
        <w:t>（7）为完成本项目义务所需支付的其他费用。</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Helvetica"/>
          <w:color w:val="3E3E3E"/>
          <w:kern w:val="2"/>
          <w:sz w:val="24"/>
          <w:szCs w:val="24"/>
          <w:lang w:val="en-US" w:eastAsia="zh-CN" w:bidi="ar-SA"/>
        </w:rPr>
      </w:pPr>
      <w:r>
        <w:rPr>
          <w:rFonts w:hint="eastAsia" w:ascii="宋体" w:hAnsi="宋体" w:eastAsia="宋体" w:cs="Helvetica"/>
          <w:color w:val="3E3E3E"/>
          <w:kern w:val="2"/>
          <w:sz w:val="24"/>
          <w:szCs w:val="24"/>
          <w:lang w:val="en-US" w:eastAsia="zh-CN" w:bidi="ar-SA"/>
        </w:rPr>
        <w:t>2.免费维保期不少于2年，维保期结束后维保费用不超合同总价7%</w:t>
      </w:r>
    </w:p>
    <w:p>
      <w:pPr>
        <w:pStyle w:val="10"/>
        <w:ind w:firstLine="0"/>
        <w:rPr>
          <w:rFonts w:hint="eastAsia" w:ascii="仿宋" w:hAnsi="仿宋" w:eastAsia="仿宋" w:cs="仿宋"/>
          <w:sz w:val="24"/>
          <w:szCs w:val="21"/>
        </w:rPr>
      </w:pPr>
    </w:p>
    <w:p>
      <w:pPr>
        <w:spacing w:line="360" w:lineRule="auto"/>
        <w:rPr>
          <w:rFonts w:ascii="宋体" w:hAnsi="宋体" w:eastAsia="宋体" w:cs="Helvetica"/>
          <w:color w:val="3E3E3E"/>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BCE"/>
    <w:rsid w:val="00194BCE"/>
    <w:rsid w:val="004E327B"/>
    <w:rsid w:val="00763DC1"/>
    <w:rsid w:val="008D04D7"/>
    <w:rsid w:val="00980A43"/>
    <w:rsid w:val="00AA798D"/>
    <w:rsid w:val="00AF0C54"/>
    <w:rsid w:val="00BA58FB"/>
    <w:rsid w:val="00E31A84"/>
    <w:rsid w:val="13512B19"/>
    <w:rsid w:val="19E3384E"/>
    <w:rsid w:val="2BD57D0C"/>
    <w:rsid w:val="3EF7552B"/>
    <w:rsid w:val="525464A2"/>
    <w:rsid w:val="6C6F3DFE"/>
    <w:rsid w:val="6F3F1A63"/>
    <w:rsid w:val="700B17D2"/>
    <w:rsid w:val="7A3011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unhideWhenUsed/>
    <w:qFormat/>
    <w:uiPriority w:val="99"/>
    <w:pPr>
      <w:widowControl/>
      <w:spacing w:after="160" w:line="259" w:lineRule="auto"/>
      <w:jc w:val="left"/>
    </w:pPr>
    <w:rPr>
      <w:rFonts w:ascii="Calibri" w:hAnsi="Calibri" w:eastAsia="宋体" w:cs="Times New Roman"/>
      <w:kern w:val="0"/>
      <w:sz w:val="22"/>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正文正"/>
    <w:basedOn w:val="1"/>
    <w:qFormat/>
    <w:uiPriority w:val="0"/>
    <w:pPr>
      <w:spacing w:line="560" w:lineRule="exact"/>
      <w:ind w:firstLine="561"/>
    </w:pPr>
    <w:rPr>
      <w:rFonts w:ascii="Times New Roman" w:hAnsi="Times New Roman" w:eastAsia="仿宋_GB2312" w:cs="Times New Roman"/>
      <w:spacing w:val="14"/>
      <w:sz w:val="28"/>
      <w:szCs w:val="24"/>
    </w:rPr>
  </w:style>
  <w:style w:type="character" w:customStyle="1" w:styleId="11">
    <w:name w:val="批注文字 Char"/>
    <w:basedOn w:val="7"/>
    <w:link w:val="2"/>
    <w:qFormat/>
    <w:uiPriority w:val="99"/>
    <w:rPr>
      <w:rFonts w:ascii="Calibri" w:hAnsi="Calibri" w:eastAsia="宋体" w:cs="Times New Roman"/>
      <w:kern w:val="0"/>
      <w:sz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179</Words>
  <Characters>1022</Characters>
  <Lines>8</Lines>
  <Paragraphs>2</Paragraphs>
  <TotalTime>0</TotalTime>
  <ScaleCrop>false</ScaleCrop>
  <LinksUpToDate>false</LinksUpToDate>
  <CharactersWithSpaces>1199</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2023-09-14T03:27:00Z</dcterms:created>
  <dc:creator>zyy</dc:creator>
  <cp:lastModifiedBy>1</cp:lastModifiedBy>
  <dcterms:modified xsi:type="dcterms:W3CDTF">2023-09-15T00:06:48Z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