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36"/>
          <w:szCs w:val="36"/>
          <w:lang w:val="en-US" w:eastAsia="zh-CN"/>
        </w:rPr>
      </w:pPr>
      <w:r>
        <w:rPr>
          <w:rFonts w:hint="eastAsia" w:ascii="宋体" w:hAnsi="宋体" w:eastAsia="宋体"/>
          <w:b/>
          <w:bCs/>
          <w:sz w:val="36"/>
          <w:szCs w:val="36"/>
          <w:lang w:val="en-US" w:eastAsia="zh-CN"/>
        </w:rPr>
        <w:t>中山市中医院</w:t>
      </w:r>
      <w:r>
        <w:rPr>
          <w:rFonts w:hint="eastAsia" w:ascii="宋体" w:hAnsi="宋体" w:eastAsia="宋体"/>
          <w:b/>
          <w:bCs/>
          <w:sz w:val="36"/>
          <w:szCs w:val="36"/>
        </w:rPr>
        <w:t>老年综合评估系统</w:t>
      </w:r>
      <w:r>
        <w:rPr>
          <w:rFonts w:hint="eastAsia" w:ascii="宋体" w:hAnsi="宋体" w:eastAsia="宋体"/>
          <w:b/>
          <w:bCs/>
          <w:sz w:val="36"/>
          <w:szCs w:val="36"/>
          <w:lang w:val="en-US" w:eastAsia="zh-CN"/>
        </w:rPr>
        <w:t>需求</w:t>
      </w:r>
    </w:p>
    <w:p>
      <w:pPr>
        <w:spacing w:line="360" w:lineRule="auto"/>
        <w:rPr>
          <w:rFonts w:hint="eastAsia" w:ascii="宋体" w:hAnsi="宋体" w:eastAsia="宋体"/>
          <w:sz w:val="24"/>
          <w:szCs w:val="24"/>
          <w:lang w:eastAsia="zh-CN"/>
        </w:rPr>
      </w:pPr>
      <w:r>
        <w:rPr>
          <w:rFonts w:hint="eastAsia" w:ascii="宋体" w:hAnsi="宋体" w:eastAsia="宋体"/>
          <w:sz w:val="24"/>
          <w:szCs w:val="24"/>
          <w:lang w:val="en-US" w:eastAsia="zh-CN"/>
        </w:rPr>
        <w:t>一、项目技术参数</w:t>
      </w:r>
      <w:r>
        <w:rPr>
          <w:rFonts w:hint="eastAsia" w:ascii="宋体" w:hAnsi="宋体" w:eastAsia="宋体"/>
          <w:sz w:val="24"/>
          <w:szCs w:val="24"/>
        </w:rPr>
        <w:t>需求</w:t>
      </w:r>
      <w:r>
        <w:rPr>
          <w:rFonts w:hint="eastAsia" w:ascii="宋体" w:hAnsi="宋体" w:eastAsia="宋体"/>
          <w:sz w:val="24"/>
          <w:szCs w:val="24"/>
          <w:lang w:eastAsia="zh-CN"/>
        </w:rPr>
        <w:t>：</w:t>
      </w:r>
    </w:p>
    <w:p>
      <w:pPr>
        <w:spacing w:line="360" w:lineRule="auto"/>
        <w:rPr>
          <w:rFonts w:hint="eastAsia" w:ascii="宋体" w:hAnsi="宋体" w:eastAsia="宋体"/>
          <w:sz w:val="24"/>
          <w:szCs w:val="24"/>
        </w:rPr>
      </w:pPr>
      <w:r>
        <w:rPr>
          <w:rFonts w:hint="eastAsia" w:ascii="宋体" w:hAnsi="宋体" w:eastAsia="宋体"/>
          <w:sz w:val="24"/>
          <w:szCs w:val="24"/>
        </w:rPr>
        <w:t>1.多场景应用：老年综合评估系统适用于全科的老年患者，至少能在门诊、住院与体检中心全场景开展；</w:t>
      </w:r>
    </w:p>
    <w:p>
      <w:pPr>
        <w:spacing w:line="360" w:lineRule="auto"/>
        <w:rPr>
          <w:rFonts w:hint="eastAsia" w:ascii="宋体" w:hAnsi="宋体" w:eastAsia="宋体"/>
          <w:sz w:val="24"/>
          <w:szCs w:val="24"/>
        </w:rPr>
      </w:pPr>
      <w:r>
        <w:rPr>
          <w:rFonts w:hint="eastAsia" w:ascii="宋体" w:hAnsi="宋体" w:eastAsia="宋体"/>
          <w:sz w:val="24"/>
          <w:szCs w:val="24"/>
        </w:rPr>
        <w:t>2.评估内容涵盖2017年《中国老年综合评估技术应用专家共识》17项评估内容，使用量表为国内公认的常用可信量表。</w:t>
      </w:r>
    </w:p>
    <w:p>
      <w:pPr>
        <w:spacing w:line="360" w:lineRule="auto"/>
        <w:rPr>
          <w:rFonts w:hint="eastAsia" w:ascii="宋体" w:hAnsi="宋体" w:eastAsia="宋体"/>
          <w:sz w:val="24"/>
          <w:szCs w:val="24"/>
        </w:rPr>
      </w:pPr>
      <w:r>
        <w:rPr>
          <w:rFonts w:hint="eastAsia" w:ascii="宋体" w:hAnsi="宋体" w:eastAsia="宋体"/>
          <w:sz w:val="24"/>
          <w:szCs w:val="24"/>
        </w:rPr>
        <w:t>3.可综合量表的评估结果报告，实时、高效、准确针对不同评估结果的老年患者做出对应建议，连续性的评估资料有对比并作出相应的建议。</w:t>
      </w:r>
    </w:p>
    <w:p>
      <w:pPr>
        <w:spacing w:line="360" w:lineRule="auto"/>
        <w:rPr>
          <w:rFonts w:hint="eastAsia" w:ascii="宋体" w:hAnsi="宋体" w:eastAsia="宋体"/>
          <w:sz w:val="24"/>
          <w:szCs w:val="24"/>
        </w:rPr>
      </w:pPr>
      <w:r>
        <w:rPr>
          <w:rFonts w:hint="eastAsia" w:ascii="宋体" w:hAnsi="宋体" w:eastAsia="宋体"/>
          <w:sz w:val="24"/>
          <w:szCs w:val="24"/>
        </w:rPr>
        <w:t>4.集成老年患者健康功能评估数据库功能，能实时将评估数据上传至数据库，数据可进行统一管理及科研使用。</w:t>
      </w:r>
    </w:p>
    <w:p>
      <w:pPr>
        <w:spacing w:line="360" w:lineRule="auto"/>
        <w:rPr>
          <w:rFonts w:hint="eastAsia" w:ascii="宋体" w:hAnsi="宋体" w:eastAsia="宋体"/>
          <w:sz w:val="24"/>
          <w:szCs w:val="24"/>
        </w:rPr>
      </w:pPr>
      <w:r>
        <w:rPr>
          <w:rFonts w:hint="eastAsia" w:ascii="宋体" w:hAnsi="宋体" w:eastAsia="宋体"/>
          <w:sz w:val="24"/>
          <w:szCs w:val="24"/>
        </w:rPr>
        <w:t>5.可接入医院HIS系统，评估报告和建议可编辑；评估便捷打印接口。</w:t>
      </w:r>
    </w:p>
    <w:p>
      <w:pPr>
        <w:spacing w:line="360" w:lineRule="auto"/>
        <w:rPr>
          <w:rFonts w:hint="eastAsia" w:ascii="宋体" w:hAnsi="宋体" w:eastAsia="宋体"/>
          <w:sz w:val="24"/>
          <w:szCs w:val="24"/>
        </w:rPr>
      </w:pPr>
      <w:r>
        <w:rPr>
          <w:rFonts w:hint="eastAsia" w:ascii="宋体" w:hAnsi="宋体" w:eastAsia="宋体"/>
          <w:sz w:val="24"/>
          <w:szCs w:val="24"/>
        </w:rPr>
        <w:t>6.有管理和评估质控模块，可进行全局管理、数据提取及对评估质量评分；带消息提醒功能，对下一阶段评估提醒。</w:t>
      </w:r>
    </w:p>
    <w:p>
      <w:pPr>
        <w:spacing w:line="360" w:lineRule="auto"/>
        <w:rPr>
          <w:rFonts w:hint="eastAsia" w:ascii="宋体" w:hAnsi="宋体" w:eastAsia="宋体"/>
          <w:sz w:val="24"/>
          <w:szCs w:val="24"/>
        </w:rPr>
      </w:pPr>
      <w:r>
        <w:rPr>
          <w:rFonts w:hint="eastAsia" w:ascii="宋体" w:hAnsi="宋体" w:eastAsia="宋体"/>
          <w:sz w:val="24"/>
          <w:szCs w:val="24"/>
        </w:rPr>
        <w:t>7.完全自主知识产权，有专业软件工程师定期系统维护及升级。</w:t>
      </w:r>
    </w:p>
    <w:tbl>
      <w:tblPr>
        <w:tblStyle w:val="6"/>
        <w:tblpPr w:leftFromText="180" w:rightFromText="180" w:vertAnchor="text" w:horzAnchor="page" w:tblpXSpec="center" w:tblpY="2204"/>
        <w:tblOverlap w:val="never"/>
        <w:tblW w:w="0" w:type="auto"/>
        <w:jc w:val="center"/>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495" w:hRule="atLeast"/>
          <w:jc w:val="center"/>
        </w:trPr>
        <w:tc>
          <w:tcPr>
            <w:tcW w:w="8522" w:type="dxa"/>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项目基本要求</w:t>
            </w:r>
          </w:p>
        </w:tc>
      </w:tr>
      <w:tr>
        <w:tblPrEx>
          <w:tblCellMar>
            <w:top w:w="0" w:type="dxa"/>
            <w:left w:w="108" w:type="dxa"/>
            <w:bottom w:w="0" w:type="dxa"/>
            <w:right w:w="108" w:type="dxa"/>
          </w:tblCellMar>
        </w:tblPrEx>
        <w:trPr>
          <w:trHeight w:val="63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1、投标人提供产品应满足如下标准：</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（1）《电子病历系统功能应用水平分级评价方法及标准》六级以上</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（2）《医院信息互联互通标准化成熟度测评方案》四级甲等以上</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（3）《医院智慧服务分级评估标准体系》三级以上</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（4）《医院智慧管理分级评估标准体系》三级以上</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（5）《信息安全技术网络安全等级保护基本要求》三级</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（6）《医院信息系统基本功能规范》</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（7）《中医医院信息系统基本功能规范》</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（8）《全国医院信息化建设标准与规范》</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（9）《卫生系统电子认证服务规范》</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（10）《三级中医医院评审标准》</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（11）《信息安全技术个人信息安全规范》</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（12）所有系统能够按照相关标准（和/或甲方要求）由供应商免费接入医院信息集成平台。</w:t>
            </w:r>
          </w:p>
        </w:tc>
      </w:tr>
    </w:tbl>
    <w:p>
      <w:pPr>
        <w:widowControl/>
        <w:jc w:val="left"/>
        <w:rPr>
          <w:rFonts w:hint="eastAsia" w:ascii="仿宋" w:hAnsi="仿宋" w:eastAsia="仿宋" w:cs="仿宋"/>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Helvetica"/>
          <w:color w:val="3E3E3E"/>
          <w:kern w:val="2"/>
          <w:sz w:val="24"/>
          <w:szCs w:val="24"/>
          <w:lang w:val="en-US" w:eastAsia="zh-CN" w:bidi="ar-SA"/>
        </w:rPr>
      </w:pPr>
      <w:r>
        <w:rPr>
          <w:rFonts w:hint="eastAsia" w:ascii="宋体" w:hAnsi="宋体" w:eastAsia="宋体" w:cs="Helvetica"/>
          <w:color w:val="3E3E3E"/>
          <w:kern w:val="2"/>
          <w:sz w:val="24"/>
          <w:szCs w:val="24"/>
          <w:lang w:val="en-US" w:eastAsia="zh-CN" w:bidi="ar-SA"/>
        </w:rPr>
        <w:t>二、</w:t>
      </w:r>
      <w:bookmarkStart w:id="0" w:name="_GoBack"/>
      <w:bookmarkEnd w:id="0"/>
      <w:r>
        <w:rPr>
          <w:rFonts w:hint="eastAsia" w:ascii="宋体" w:hAnsi="宋体" w:eastAsia="宋体" w:cs="Helvetica"/>
          <w:color w:val="3E3E3E"/>
          <w:kern w:val="2"/>
          <w:sz w:val="24"/>
          <w:szCs w:val="24"/>
          <w:lang w:val="en-US" w:eastAsia="zh-CN" w:bidi="ar-SA"/>
        </w:rPr>
        <w:t>商务需求：</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1.本项目为采购人的智慧医院信息化建设的子项目，本项目为交钥匙工程，投标价应为人民币含税全包价，投标价格为固定价格，包括但不限于以下费用：</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（1）完整的产品软件、技术文件的费用、系统的设计、开发测试、安装调试技术服务费用及所发生相应的费用；</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（2）软件永久许可使用费；</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（3）质保期内的服务费用和升级改造费用；</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（4）系统培训、验收、售后服务、智慧医院建设目标测评所需的费用及相关服务等一切费用；</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（5）与医院信息系统间的接口开发、对接医院现有信息系统及日后智慧医院信息系统接入平台升级改造涉及的所有费用均由中标人支付，确保项目达到智慧项目目标，采购人不再支付任何其他费用；</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6）正常运行系统并达到需求标准所需的专用硬件和相关系统软件（服务器、存储设备、负载均衡设备和数据库软件除外），专用硬件包括但不限于采集卡、控制器、连接线、转接线、接口转换器、网卡、网线等；相关系统软件包括实现功能清单功能的系统软件、实现功能需求和智慧医院建设目标必须具备的辅助软件，如虚拟化软件、备份软件、管理工具等，无需再额外采购其它软硬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Helvetica"/>
          <w:color w:val="3E3E3E"/>
          <w:kern w:val="2"/>
          <w:sz w:val="24"/>
          <w:szCs w:val="24"/>
          <w:lang w:val="en-US" w:eastAsia="zh-CN" w:bidi="ar-SA"/>
        </w:rPr>
      </w:pPr>
      <w:r>
        <w:rPr>
          <w:rFonts w:hint="eastAsia" w:ascii="宋体" w:hAnsi="宋体" w:eastAsia="宋体" w:cs="Helvetica"/>
          <w:color w:val="3E3E3E"/>
          <w:kern w:val="2"/>
          <w:sz w:val="24"/>
          <w:szCs w:val="24"/>
          <w:lang w:val="en-US" w:eastAsia="zh-CN" w:bidi="ar-SA"/>
        </w:rPr>
        <w:t>（7）为完成本项目义务所需支付的其他费用。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Helvetica"/>
          <w:color w:val="3E3E3E"/>
          <w:kern w:val="2"/>
          <w:sz w:val="24"/>
          <w:szCs w:val="24"/>
          <w:lang w:val="en-US" w:eastAsia="zh-CN" w:bidi="ar-SA"/>
        </w:rPr>
      </w:pPr>
      <w:r>
        <w:rPr>
          <w:rFonts w:hint="eastAsia" w:ascii="宋体" w:hAnsi="宋体" w:eastAsia="宋体" w:cs="Helvetica"/>
          <w:color w:val="3E3E3E"/>
          <w:kern w:val="2"/>
          <w:sz w:val="24"/>
          <w:szCs w:val="24"/>
          <w:lang w:val="en-US" w:eastAsia="zh-CN" w:bidi="ar-SA"/>
        </w:rPr>
        <w:t>2.免费维保期不少于2年，维保期结束后维保费用不超合同总价7%</w:t>
      </w:r>
    </w:p>
    <w:p>
      <w:pPr>
        <w:pStyle w:val="10"/>
        <w:ind w:firstLine="0"/>
        <w:rPr>
          <w:rFonts w:hint="eastAsia" w:ascii="仿宋" w:hAnsi="仿宋" w:eastAsia="仿宋" w:cs="仿宋"/>
          <w:sz w:val="24"/>
          <w:szCs w:val="21"/>
        </w:rPr>
      </w:pPr>
    </w:p>
    <w:p>
      <w:pPr>
        <w:spacing w:line="360" w:lineRule="auto"/>
        <w:rPr>
          <w:rFonts w:ascii="宋体" w:hAnsi="宋体" w:eastAsia="宋体" w:cs="Helvetica"/>
          <w:color w:val="3E3E3E"/>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BCE"/>
    <w:rsid w:val="00194BCE"/>
    <w:rsid w:val="004E327B"/>
    <w:rsid w:val="00763DC1"/>
    <w:rsid w:val="008D04D7"/>
    <w:rsid w:val="00980A43"/>
    <w:rsid w:val="00AA798D"/>
    <w:rsid w:val="00AF0C54"/>
    <w:rsid w:val="00BA58FB"/>
    <w:rsid w:val="00E31A84"/>
    <w:rsid w:val="13512B19"/>
    <w:rsid w:val="19E3384E"/>
    <w:rsid w:val="2BD57D0C"/>
    <w:rsid w:val="3EF7552B"/>
    <w:rsid w:val="525464A2"/>
    <w:rsid w:val="6C6F3DFE"/>
    <w:rsid w:val="6F3F1A63"/>
    <w:rsid w:val="700B17D2"/>
    <w:rsid w:val="7A301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widowControl/>
      <w:spacing w:after="160" w:line="259" w:lineRule="auto"/>
      <w:jc w:val="left"/>
    </w:pPr>
    <w:rPr>
      <w:rFonts w:ascii="Calibri" w:hAnsi="Calibri" w:eastAsia="宋体" w:cs="Times New Roman"/>
      <w:kern w:val="0"/>
      <w:sz w:val="2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正文正"/>
    <w:basedOn w:val="1"/>
    <w:qFormat/>
    <w:uiPriority w:val="0"/>
    <w:pPr>
      <w:spacing w:line="560" w:lineRule="exact"/>
      <w:ind w:firstLine="561"/>
    </w:pPr>
    <w:rPr>
      <w:rFonts w:ascii="Times New Roman" w:hAnsi="Times New Roman" w:eastAsia="仿宋_GB2312" w:cs="Times New Roman"/>
      <w:spacing w:val="14"/>
      <w:sz w:val="28"/>
      <w:szCs w:val="24"/>
    </w:rPr>
  </w:style>
  <w:style w:type="character" w:customStyle="1" w:styleId="11">
    <w:name w:val="批注文字 Char"/>
    <w:basedOn w:val="7"/>
    <w:link w:val="2"/>
    <w:qFormat/>
    <w:uiPriority w:val="99"/>
    <w:rPr>
      <w:rFonts w:ascii="Calibri" w:hAnsi="Calibri" w:eastAsia="宋体" w:cs="Times New Roman"/>
      <w:kern w:val="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Words>
  <Characters>1022</Characters>
  <Lines>8</Lines>
  <Paragraphs>2</Paragraphs>
  <TotalTime>0</TotalTime>
  <ScaleCrop>false</ScaleCrop>
  <LinksUpToDate>false</LinksUpToDate>
  <CharactersWithSpaces>1199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2023-09-14T03:27:00Z</dcterms:created>
  <dc:creator>zyy</dc:creator>
  <cp:lastModifiedBy>1</cp:lastModifiedBy>
  <dcterms:modified xsi:type="dcterms:W3CDTF">2023-09-15T00:06:48Z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