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</w:t>
      </w:r>
      <w:bookmarkStart w:id="1" w:name="_GoBack"/>
      <w:bookmarkEnd w:id="1"/>
      <w:r>
        <w:rPr>
          <w:rFonts w:hint="eastAsia"/>
          <w:b/>
          <w:sz w:val="32"/>
          <w:szCs w:val="32"/>
        </w:rPr>
        <w:t>需求</w:t>
      </w:r>
    </w:p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、项目名称：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cs="宋体"/>
          <w:color w:val="222222"/>
          <w:szCs w:val="21"/>
          <w:shd w:val="clear" w:color="auto" w:fill="FFFFFF"/>
        </w:rPr>
        <w:t>中山市中医院生活用纸采购项目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、项目内容：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医院拟采购一批生活用纸，以满足使用需求</w:t>
      </w:r>
      <w:r>
        <w:rPr>
          <w:rFonts w:hint="eastAsia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、</w:t>
      </w:r>
      <w:bookmarkStart w:id="0" w:name="_Hlk161666829"/>
      <w:r>
        <w:rPr>
          <w:rFonts w:hint="eastAsia" w:asciiTheme="minorEastAsia" w:hAnsiTheme="minorEastAsia" w:eastAsiaTheme="minorEastAsia"/>
          <w:szCs w:val="21"/>
        </w:rPr>
        <w:t>项目上限价：￥</w:t>
      </w:r>
      <w:r>
        <w:rPr>
          <w:rFonts w:asciiTheme="minorEastAsia" w:hAnsiTheme="minorEastAsia" w:eastAsiaTheme="minorEastAsia"/>
          <w:szCs w:val="21"/>
        </w:rPr>
        <w:t>463900</w:t>
      </w:r>
      <w:r>
        <w:rPr>
          <w:rFonts w:hint="eastAsia" w:asciiTheme="minorEastAsia" w:hAnsiTheme="minorEastAsia" w:eastAsiaTheme="minorEastAsia"/>
          <w:szCs w:val="21"/>
        </w:rPr>
        <w:t>元，超过采购上限价的属于无效响应。</w:t>
      </w:r>
      <w:bookmarkEnd w:id="0"/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、供货期：一年</w:t>
      </w:r>
    </w:p>
    <w:p>
      <w:pPr>
        <w:widowControl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</w:t>
      </w:r>
      <w:r>
        <w:rPr>
          <w:rFonts w:hint="eastAsia" w:cs="宋体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报价</w:t>
      </w:r>
      <w:r>
        <w:rPr>
          <w:rFonts w:hint="eastAsia" w:asciiTheme="minorEastAsia" w:hAnsiTheme="minorEastAsia" w:eastAsiaTheme="minorEastAsia"/>
          <w:szCs w:val="21"/>
        </w:rPr>
        <w:t>：应包括货物、配送、质保期服务费、各种税费及合同实施过程中的不可预见费用等。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二、采购</w:t>
      </w:r>
      <w:r>
        <w:rPr>
          <w:b/>
          <w:sz w:val="24"/>
        </w:rPr>
        <w:t>清单</w:t>
      </w:r>
    </w:p>
    <w:tbl>
      <w:tblPr>
        <w:tblStyle w:val="11"/>
        <w:tblpPr w:leftFromText="180" w:rightFromText="180" w:vertAnchor="text" w:horzAnchor="margin" w:tblpY="231"/>
        <w:tblOverlap w:val="never"/>
        <w:tblW w:w="76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268"/>
        <w:gridCol w:w="1276"/>
        <w:gridCol w:w="21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参考规格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面巾纸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  <w:lang w:bidi="ar"/>
              </w:rPr>
              <w:t>18000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 xml:space="preserve">  擦手纸（大）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bidi="ar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  <w:lang w:bidi="ar"/>
              </w:rPr>
              <w:t>55000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擦手纸（小）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bidi="ar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  <w:lang w:bidi="ar"/>
              </w:rPr>
              <w:t>10000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卫生纸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bidi="ar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  <w:lang w:bidi="ar"/>
              </w:rPr>
              <w:t>40000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方型面巾纸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bidi="ar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大卷纸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bidi="ar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  <w:lang w:bidi="ar"/>
              </w:rPr>
              <w:t>12000</w:t>
            </w:r>
          </w:p>
        </w:tc>
      </w:tr>
    </w:tbl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质量要求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1.面巾纸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规格：≥200抽，200mm*200mm（长偏差±5㎜；宽偏差±5㎜）双层。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外观：白色、皱纹细腻、均匀，直面洁净，不应有明显的死皱、残缺、破损、沙子、硬质块、生浆、杂质等纸病，不应有掉粉、掉毛及湿水后粘手、掉色等现象。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15979-2002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2.擦手纸（大）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规格：≥200抽，225mm*230mm （长偏差±5㎜；宽偏差±5㎜），单层。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外观：白色、皱纹细腻、均匀，直面洁净，不应有明显的死皱、残缺、破损、沙子、硬质块、生浆、杂质等纸病，不应有掉粉、掉毛及湿水后粘手、掉色等现象。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15979-2002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3.擦手纸(小)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规格：≥200抽，225mm*190mm （长偏差±5㎜；宽偏差±5㎜），单层。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外观：白色、皱纹细腻、均匀，直面洁净，不应有明显的死皱、残缺、破损、沙子、硬质块、生浆、杂质等纸病，不应有掉粉、掉毛及湿水后粘手、掉色等现象。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3.6.卫生标准编号：GB 15979-2002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4.卫生纸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规格型号：115mm×100mm/节（尺寸偏差：长偏差±5㎜；宽偏差±5㎜；）；三层；≥130g/卷。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材质：原木浆或纯木浆。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15979-2002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5.方形面巾纸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规格型号：230mm*170mm（长偏差±5㎜；宽偏差±5㎜；）；二层；≥300g/包。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材质：原木浆或纯木浆。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15979-2002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6.大卷纸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规格型号：90mm×120mm/节（尺寸偏差：长偏差±5㎜；宽偏差±5㎜；）；三层；≥150米/卷。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材质：原木浆或原生浆。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15979-2002</w:t>
      </w:r>
    </w:p>
    <w:p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四、服务要求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1、质保期不少于一年，自货物验收合格交付使用之日起计算。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2、质保期内供应商提供“包退、包换、包修”的质量“三包”服务。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3、供应商收到送货通知后，应及时安排送货。急需货物48小时内送到，一般货物72小时送到，节假日及法定假日照常配送。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4、验收及质保期内出现的货物有短缺、次品、损坏或其他不符合项目要求的，供应商承担由此产生的一切费用和损失。</w:t>
      </w: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五、验收与结算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1、供应商将货物送到采购人指定地点，采购人按国家相关标准、行业标准及项目要求进行验收。</w:t>
      </w:r>
    </w:p>
    <w:p>
      <w:p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2、供货期间根据货物单价及实际采购数量分批结算，凭送货单、正规发票，采购人于60个自然日内支付相应货款。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48C2"/>
    <w:rsid w:val="000656F0"/>
    <w:rsid w:val="0007184A"/>
    <w:rsid w:val="00081FD9"/>
    <w:rsid w:val="00086879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21279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556F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C1DCF"/>
    <w:rsid w:val="002C6B84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3E7BDD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D0604"/>
    <w:rsid w:val="004D4071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0231"/>
    <w:rsid w:val="00651CE1"/>
    <w:rsid w:val="00655548"/>
    <w:rsid w:val="00671F8C"/>
    <w:rsid w:val="006720E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37C69"/>
    <w:rsid w:val="00743E57"/>
    <w:rsid w:val="00744AFD"/>
    <w:rsid w:val="007471F8"/>
    <w:rsid w:val="007510B3"/>
    <w:rsid w:val="007515AD"/>
    <w:rsid w:val="0075628B"/>
    <w:rsid w:val="00761A5E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2EC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D1828"/>
    <w:rsid w:val="008E1634"/>
    <w:rsid w:val="008E35DF"/>
    <w:rsid w:val="008E3EB6"/>
    <w:rsid w:val="008E589B"/>
    <w:rsid w:val="008F4D06"/>
    <w:rsid w:val="008F4DBC"/>
    <w:rsid w:val="00902918"/>
    <w:rsid w:val="009122E4"/>
    <w:rsid w:val="009133F6"/>
    <w:rsid w:val="00930FC2"/>
    <w:rsid w:val="00941E85"/>
    <w:rsid w:val="00961ED6"/>
    <w:rsid w:val="009660B8"/>
    <w:rsid w:val="0097057D"/>
    <w:rsid w:val="009708C2"/>
    <w:rsid w:val="009753E1"/>
    <w:rsid w:val="0098197F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2576"/>
    <w:rsid w:val="00A33FC6"/>
    <w:rsid w:val="00A34BCA"/>
    <w:rsid w:val="00A42BC7"/>
    <w:rsid w:val="00A42DF2"/>
    <w:rsid w:val="00A47B03"/>
    <w:rsid w:val="00A51E0E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A5D18"/>
    <w:rsid w:val="00AB2934"/>
    <w:rsid w:val="00AB330E"/>
    <w:rsid w:val="00AB7054"/>
    <w:rsid w:val="00AB73C2"/>
    <w:rsid w:val="00AB7938"/>
    <w:rsid w:val="00AC49CF"/>
    <w:rsid w:val="00AC5502"/>
    <w:rsid w:val="00AC6E11"/>
    <w:rsid w:val="00AD0E2C"/>
    <w:rsid w:val="00AD4ECC"/>
    <w:rsid w:val="00AD5F66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209B5"/>
    <w:rsid w:val="00B231F3"/>
    <w:rsid w:val="00B23432"/>
    <w:rsid w:val="00B24C23"/>
    <w:rsid w:val="00B26120"/>
    <w:rsid w:val="00B273A8"/>
    <w:rsid w:val="00B27FDA"/>
    <w:rsid w:val="00B34FC3"/>
    <w:rsid w:val="00B450BF"/>
    <w:rsid w:val="00B5114C"/>
    <w:rsid w:val="00B544D0"/>
    <w:rsid w:val="00B56304"/>
    <w:rsid w:val="00B5707D"/>
    <w:rsid w:val="00B61A0C"/>
    <w:rsid w:val="00B63772"/>
    <w:rsid w:val="00B65B96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454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1266"/>
    <w:rsid w:val="00D11AB9"/>
    <w:rsid w:val="00D12C88"/>
    <w:rsid w:val="00D1617B"/>
    <w:rsid w:val="00D30629"/>
    <w:rsid w:val="00D44C81"/>
    <w:rsid w:val="00D45387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3FD2"/>
    <w:rsid w:val="00DA5091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1C3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D7B94"/>
    <w:rsid w:val="00FE395D"/>
    <w:rsid w:val="00FE3AC0"/>
    <w:rsid w:val="00FE4547"/>
    <w:rsid w:val="00FF21C2"/>
    <w:rsid w:val="00FF5903"/>
    <w:rsid w:val="00FF638B"/>
    <w:rsid w:val="1CFE23AF"/>
    <w:rsid w:val="308E426C"/>
    <w:rsid w:val="33202FF1"/>
    <w:rsid w:val="3547008D"/>
    <w:rsid w:val="381F7624"/>
    <w:rsid w:val="5C7727E9"/>
    <w:rsid w:val="61960834"/>
    <w:rsid w:val="73A23CF3"/>
    <w:rsid w:val="74014D3F"/>
    <w:rsid w:val="79805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4"/>
    <w:autoRedefine/>
    <w:unhideWhenUsed/>
    <w:qFormat/>
    <w:uiPriority w:val="1"/>
    <w:pPr>
      <w:tabs>
        <w:tab w:val="decimal" w:pos="315"/>
        <w:tab w:val="left" w:pos="630"/>
      </w:tabs>
      <w:autoSpaceDE w:val="0"/>
      <w:autoSpaceDN w:val="0"/>
      <w:spacing w:after="120"/>
      <w:jc w:val="left"/>
    </w:pPr>
    <w:rPr>
      <w:rFonts w:ascii="宋体" w:hAnsi="宋体" w:cs="宋体"/>
      <w:kern w:val="0"/>
      <w:sz w:val="22"/>
      <w:lang w:val="zh-CN" w:bidi="zh-CN"/>
    </w:rPr>
  </w:style>
  <w:style w:type="paragraph" w:styleId="7">
    <w:name w:val="Date"/>
    <w:basedOn w:val="1"/>
    <w:next w:val="1"/>
    <w:link w:val="18"/>
    <w:autoRedefine/>
    <w:semiHidden/>
    <w:qFormat/>
    <w:uiPriority w:val="99"/>
    <w:pPr>
      <w:ind w:left="100" w:leftChars="2500"/>
    </w:pPr>
  </w:style>
  <w:style w:type="paragraph" w:styleId="8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标题 1 字符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link w:val="3"/>
    <w:autoRedefine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标题 3 字符"/>
    <w:link w:val="4"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标题 4 字符"/>
    <w:link w:val="5"/>
    <w:autoRedefine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日期 字符"/>
    <w:link w:val="7"/>
    <w:semiHidden/>
    <w:locked/>
    <w:uiPriority w:val="99"/>
    <w:rPr>
      <w:rFonts w:cs="Times New Roman"/>
    </w:rPr>
  </w:style>
  <w:style w:type="character" w:customStyle="1" w:styleId="19">
    <w:name w:val="页脚 字符"/>
    <w:link w:val="8"/>
    <w:locked/>
    <w:uiPriority w:val="99"/>
    <w:rPr>
      <w:rFonts w:cs="Times New Roman"/>
      <w:sz w:val="18"/>
      <w:szCs w:val="18"/>
    </w:rPr>
  </w:style>
  <w:style w:type="character" w:customStyle="1" w:styleId="20">
    <w:name w:val="页眉 字符"/>
    <w:link w:val="9"/>
    <w:autoRedefine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41"/>
    <w:basedOn w:val="13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3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正文文本 字符"/>
    <w:basedOn w:val="13"/>
    <w:link w:val="6"/>
    <w:autoRedefine/>
    <w:qFormat/>
    <w:uiPriority w:val="1"/>
    <w:rPr>
      <w:rFonts w:ascii="宋体" w:hAnsi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340</Words>
  <Characters>1938</Characters>
  <Lines>16</Lines>
  <Paragraphs>4</Paragraphs>
  <TotalTime>904</TotalTime>
  <ScaleCrop>false</ScaleCrop>
  <LinksUpToDate>false</LinksUpToDate>
  <CharactersWithSpaces>2274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2023-12-14T01:47:00Z</dcterms:created>
  <dc:creator>xz1</dc:creator>
  <cp:lastModifiedBy>孟伶俊</cp:lastModifiedBy>
  <cp:lastPrinted>2023-12-14T10:29:00Z</cp:lastPrinted>
  <dcterms:modified xsi:type="dcterms:W3CDTF">2024-03-18T07:36:24Z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2C75BE3C294C4FBD99F1D1892FDCF162</vt:lpwstr>
  </property>
</Properties>
</file>