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>
      <w:pPr>
        <w:widowControl/>
        <w:jc w:val="center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报价单</w:t>
      </w:r>
    </w:p>
    <w:p>
      <w:pPr>
        <w:widowControl/>
        <w:jc w:val="center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243"/>
        <w:gridCol w:w="2977"/>
        <w:gridCol w:w="992"/>
        <w:gridCol w:w="701"/>
        <w:gridCol w:w="575"/>
        <w:gridCol w:w="992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参数要求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参考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录播主机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cs="宋体"/>
                <w:kern w:val="0"/>
                <w:lang w:eastAsia="zh-CN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>1、</w:t>
            </w:r>
            <w:r>
              <w:rPr>
                <w:rFonts w:hint="eastAsia" w:cs="宋体"/>
                <w:kern w:val="0"/>
              </w:rPr>
              <w:t>两盘位8路主机（接入医院原有录播平台，原有录播平台品牌是科达）</w:t>
            </w:r>
            <w:r>
              <w:rPr>
                <w:rFonts w:hint="eastAsia" w:cs="宋体"/>
                <w:kern w:val="0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Cs w:val="21"/>
              </w:rPr>
              <w:t>支持混音录像功能,实现远程声音和本地声音同步录像。</w:t>
            </w:r>
          </w:p>
          <w:p>
            <w:pPr>
              <w:numPr>
                <w:ilvl w:val="0"/>
                <w:numId w:val="0"/>
              </w:numPr>
              <w:tabs>
                <w:tab w:val="left" w:pos="540"/>
                <w:tab w:val="left" w:pos="574"/>
              </w:tabs>
              <w:spacing w:line="360" w:lineRule="auto"/>
              <w:outlineLvl w:val="0"/>
              <w:rPr>
                <w:rFonts w:hint="eastAsia" w:cs="宋体"/>
                <w:kern w:val="0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cs="宋体"/>
                <w:kern w:val="0"/>
                <w:lang w:val="en-US" w:eastAsia="zh-CN"/>
              </w:rPr>
              <w:t>、</w:t>
            </w:r>
            <w:r>
              <w:rPr>
                <w:rFonts w:hint="eastAsia" w:cs="宋体"/>
                <w:kern w:val="0"/>
              </w:rPr>
              <w:t>设备应具备1个以太网接口、VGA接口、HDMI接口、USB2.0接口。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科达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海康威视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宇视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1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室内球机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室内高清高速球型网络摄像机（网线接口），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设备的最低照度至少为0.001Lux(彩色)0.0001Lux(黑白)。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5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textAlignment w:val="auto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设备应支持至少20倍光学变焦，焦距4.7-94mm，光圈F1.5-3.0。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5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textAlignment w:val="auto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设备音频编码格式应支持G.711a、G.711u、ADPCM、G.722、AAC_LC、G.726，支持语音对讲无回声、混音等功能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40"/>
                <w:tab w:val="left" w:pos="5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textAlignment w:val="auto"/>
              <w:outlineLvl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设备应支持数字降噪、电子防抖、透雾、强光抑制等图像增强功能。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科达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海康威视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宇视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特写枪机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特写枪机，</w:t>
            </w:r>
          </w:p>
          <w:p>
            <w:pPr>
              <w:jc w:val="left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>1、</w:t>
            </w:r>
            <w:r>
              <w:rPr>
                <w:rFonts w:hint="eastAsia" w:cs="宋体"/>
                <w:kern w:val="0"/>
              </w:rPr>
              <w:t>6.0-48mm AF电动镜头。1/2.8"200W像素高性能传感器，0.0001Lux星光级超低照度，120dB超宽动态。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支持宽动态,适合逆光环境监控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支持透雾、强光抑制、背光补偿、自动电子快门功能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支持3D数字降噪，图像清晰细腻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支持双向音频及报警接口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科达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海康威视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宇视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高保真拾音器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kern w:val="0"/>
              </w:rPr>
              <w:t>高保真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科达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思正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0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合计（含税、布线及安装调试）：</w:t>
            </w:r>
          </w:p>
        </w:tc>
      </w:tr>
    </w:tbl>
    <w:p>
      <w:pPr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供应商报价的品牌不限于上述要求、但规格参数要优于或同等、不能低于上述标准。</w:t>
      </w:r>
    </w:p>
    <w:p>
      <w:pPr>
        <w:jc w:val="left"/>
        <w:rPr>
          <w:rFonts w:ascii="宋体" w:hAnsi="宋体"/>
          <w:color w:val="000000"/>
          <w:szCs w:val="21"/>
        </w:rPr>
      </w:pPr>
    </w:p>
    <w:p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62023B"/>
    <w:multiLevelType w:val="singleLevel"/>
    <w:tmpl w:val="C862023B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C1FF669"/>
    <w:multiLevelType w:val="singleLevel"/>
    <w:tmpl w:val="6C1FF66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45261744"/>
    <w:rsid w:val="30E33C68"/>
    <w:rsid w:val="44935D9E"/>
    <w:rsid w:val="45261744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样式1"/>
    <w:basedOn w:val="1"/>
    <w:autoRedefine/>
    <w:qFormat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6">
    <w:name w:val="样式2"/>
    <w:basedOn w:val="1"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2024-04-23T09:13:00Z</dcterms:created>
  <dc:creator>蚊蚊</dc:creator>
  <cp:lastModifiedBy>蚊蚊</cp:lastModifiedBy>
  <dcterms:modified xsi:type="dcterms:W3CDTF">2024-04-23T09:14:01Z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269C1E310BBC4B8C8FB7F26E52345FB0_11</vt:lpwstr>
  </property>
</Properties>
</file>