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840"/>
        <w:rPr>
          <w:rFonts w:ascii="宋体" w:hAnsi="宋体"/>
          <w:sz w:val="28"/>
          <w:szCs w:val="28"/>
        </w:rPr>
      </w:pPr>
      <w:r>
        <w:rPr>
          <w:rFonts w:hint="eastAsia" w:ascii="宋体" w:hAnsi="宋体"/>
          <w:sz w:val="28"/>
          <w:szCs w:val="28"/>
        </w:rPr>
        <w:t>附件5:</w:t>
      </w:r>
    </w:p>
    <w:p>
      <w:pPr>
        <w:pStyle w:val="5"/>
        <w:rPr>
          <w:rFonts w:ascii="宋体" w:hAnsi="宋体"/>
        </w:rPr>
      </w:pPr>
      <w:r>
        <w:rPr>
          <w:rFonts w:ascii="宋体" w:hAnsi="宋体"/>
        </w:rPr>
        <w:t>报价单</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
        <w:gridCol w:w="1067"/>
        <w:gridCol w:w="2983"/>
        <w:gridCol w:w="883"/>
        <w:gridCol w:w="651"/>
        <w:gridCol w:w="660"/>
        <w:gridCol w:w="1260"/>
        <w:gridCol w:w="1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453" w:type="dxa"/>
            <w:noWrap/>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序号</w:t>
            </w:r>
          </w:p>
        </w:tc>
        <w:tc>
          <w:tcPr>
            <w:tcW w:w="1067" w:type="dxa"/>
            <w:noWrap/>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cs="宋体" w:asciiTheme="minorEastAsia" w:hAnsiTheme="minorEastAsia"/>
                <w:bCs/>
                <w:color w:val="000000" w:themeColor="text1"/>
                <w:kern w:val="0"/>
                <w:sz w:val="18"/>
                <w:szCs w:val="18"/>
                <w14:textFill>
                  <w14:solidFill>
                    <w14:schemeClr w14:val="tx1"/>
                  </w14:solidFill>
                </w14:textFill>
              </w:rPr>
              <w:t>品名</w:t>
            </w:r>
          </w:p>
        </w:tc>
        <w:tc>
          <w:tcPr>
            <w:tcW w:w="2983" w:type="dxa"/>
            <w:noWrap/>
            <w:vAlign w:val="center"/>
          </w:tcPr>
          <w:p>
            <w:pPr>
              <w:widowControl/>
              <w:jc w:val="center"/>
              <w:rPr>
                <w:rFonts w:hint="eastAsia" w:eastAsia="宋体" w:cs="宋体" w:asciiTheme="minorEastAsia" w:hAnsiTheme="minorEastAsia"/>
                <w:bCs/>
                <w:color w:val="000000" w:themeColor="text1"/>
                <w:kern w:val="0"/>
                <w:sz w:val="18"/>
                <w:szCs w:val="18"/>
                <w:lang w:eastAsia="zh-CN"/>
                <w14:textFill>
                  <w14:solidFill>
                    <w14:schemeClr w14:val="tx1"/>
                  </w14:solidFill>
                </w14:textFill>
              </w:rPr>
            </w:pPr>
            <w:r>
              <w:rPr>
                <w:rFonts w:hint="eastAsia" w:cs="宋体" w:asciiTheme="minorEastAsia" w:hAnsiTheme="minorEastAsia"/>
                <w:bCs/>
                <w:color w:val="000000" w:themeColor="text1"/>
                <w:kern w:val="0"/>
                <w:sz w:val="18"/>
                <w:szCs w:val="18"/>
                <w:lang w:val="en-US" w:eastAsia="zh-CN"/>
                <w14:textFill>
                  <w14:solidFill>
                    <w14:schemeClr w14:val="tx1"/>
                  </w14:solidFill>
                </w14:textFill>
              </w:rPr>
              <w:t>需求</w:t>
            </w:r>
          </w:p>
        </w:tc>
        <w:tc>
          <w:tcPr>
            <w:tcW w:w="883" w:type="dxa"/>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参考</w:t>
            </w:r>
          </w:p>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品牌</w:t>
            </w:r>
          </w:p>
        </w:tc>
        <w:tc>
          <w:tcPr>
            <w:tcW w:w="651" w:type="dxa"/>
            <w:noWrap/>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单位</w:t>
            </w:r>
          </w:p>
        </w:tc>
        <w:tc>
          <w:tcPr>
            <w:tcW w:w="660" w:type="dxa"/>
            <w:noWrap/>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数量</w:t>
            </w:r>
          </w:p>
        </w:tc>
        <w:tc>
          <w:tcPr>
            <w:tcW w:w="1260" w:type="dxa"/>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单价（元）</w:t>
            </w:r>
          </w:p>
        </w:tc>
        <w:tc>
          <w:tcPr>
            <w:tcW w:w="1104" w:type="dxa"/>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453" w:type="dxa"/>
            <w:noWrap/>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1</w:t>
            </w:r>
          </w:p>
        </w:tc>
        <w:tc>
          <w:tcPr>
            <w:tcW w:w="1067" w:type="dxa"/>
            <w:vAlign w:val="center"/>
          </w:tcPr>
          <w:p>
            <w:pPr>
              <w:keepNext w:val="0"/>
              <w:keepLines w:val="0"/>
              <w:pageBreakBefore w:val="0"/>
              <w:widowControl/>
              <w:kinsoku/>
              <w:wordWrap/>
              <w:overflowPunct/>
              <w:topLinePunct w:val="0"/>
              <w:autoSpaceDE/>
              <w:autoSpaceDN/>
              <w:bidi w:val="0"/>
              <w:adjustRightInd/>
              <w:spacing w:line="312" w:lineRule="auto"/>
              <w:jc w:val="left"/>
              <w:textAlignment w:val="auto"/>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lang w:val="en-US" w:eastAsia="zh-CN"/>
                <w14:textFill>
                  <w14:solidFill>
                    <w14:schemeClr w14:val="tx1"/>
                  </w14:solidFill>
                </w14:textFill>
              </w:rPr>
              <w:t>电脑</w:t>
            </w:r>
            <w:r>
              <w:rPr>
                <w:rFonts w:hint="eastAsia" w:cs="宋体" w:asciiTheme="minorEastAsia" w:hAnsiTheme="minorEastAsia"/>
                <w:bCs/>
                <w:color w:val="000000" w:themeColor="text1"/>
                <w:kern w:val="0"/>
                <w:sz w:val="18"/>
                <w:szCs w:val="18"/>
                <w14:textFill>
                  <w14:solidFill>
                    <w14:schemeClr w14:val="tx1"/>
                  </w14:solidFill>
                </w14:textFill>
              </w:rPr>
              <w:t>一体机</w:t>
            </w:r>
          </w:p>
        </w:tc>
        <w:tc>
          <w:tcPr>
            <w:tcW w:w="2983" w:type="dxa"/>
            <w:vAlign w:val="center"/>
          </w:tcPr>
          <w:p>
            <w:pPr>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contextualSpacing/>
              <w:textAlignment w:val="auto"/>
              <w:rPr>
                <w:rFonts w:hint="eastAsia" w:ascii="宋体" w:hAnsi="宋体" w:eastAsia="宋体" w:cs="宋体"/>
                <w:b w:val="0"/>
                <w:bCs w:val="0"/>
                <w:sz w:val="18"/>
                <w:szCs w:val="18"/>
              </w:rPr>
            </w:pPr>
            <w:r>
              <w:rPr>
                <w:rFonts w:hint="eastAsia" w:ascii="宋体" w:hAnsi="宋体" w:eastAsia="宋体" w:cs="宋体"/>
                <w:sz w:val="18"/>
                <w:szCs w:val="18"/>
              </w:rPr>
              <w:t>外</w:t>
            </w:r>
            <w:r>
              <w:rPr>
                <w:rFonts w:hint="eastAsia" w:ascii="宋体" w:hAnsi="宋体" w:eastAsia="宋体" w:cs="宋体"/>
                <w:b w:val="0"/>
                <w:bCs w:val="0"/>
                <w:sz w:val="18"/>
                <w:szCs w:val="18"/>
              </w:rPr>
              <w:t>观：</w:t>
            </w:r>
            <w:r>
              <w:rPr>
                <w:rFonts w:hint="eastAsia" w:ascii="宋体" w:hAnsi="宋体" w:eastAsia="宋体" w:cs="宋体"/>
                <w:b w:val="0"/>
                <w:bCs w:val="0"/>
                <w:sz w:val="18"/>
                <w:szCs w:val="18"/>
                <w:lang w:val="en-US" w:eastAsia="zh-CN"/>
              </w:rPr>
              <w:t>白色，</w:t>
            </w:r>
            <w:r>
              <w:rPr>
                <w:rFonts w:hint="eastAsia" w:ascii="宋体" w:hAnsi="宋体" w:eastAsia="宋体" w:cs="宋体"/>
                <w:b w:val="0"/>
                <w:bCs w:val="0"/>
                <w:sz w:val="18"/>
                <w:szCs w:val="18"/>
              </w:rPr>
              <w:t>整机一体式设计(主机与显示器一体)。</w:t>
            </w:r>
          </w:p>
          <w:p>
            <w:pPr>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contextualSpacing/>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显示：尺寸≥23.8英寸，分辨率≥1920*1080，IPS技术屏；水平及垂直可视角度≥178°，亮度≥250 cd/m²，对比度≥1,000:1。</w:t>
            </w:r>
          </w:p>
          <w:p>
            <w:pPr>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contextualSpacing/>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CPU：配置≥Intel 第12代I5 六核处理器（主频≥2.5GHz）。</w:t>
            </w:r>
          </w:p>
          <w:p>
            <w:pPr>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contextualSpacing/>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内存：容量≥</w:t>
            </w:r>
            <w:r>
              <w:rPr>
                <w:rFonts w:hint="eastAsia" w:ascii="宋体" w:hAnsi="宋体" w:eastAsia="宋体" w:cs="宋体"/>
                <w:b w:val="0"/>
                <w:bCs w:val="0"/>
                <w:sz w:val="18"/>
                <w:szCs w:val="18"/>
                <w:highlight w:val="none"/>
                <w:lang w:val="en-US" w:eastAsia="zh-CN"/>
              </w:rPr>
              <w:t>16</w:t>
            </w:r>
            <w:r>
              <w:rPr>
                <w:rFonts w:hint="eastAsia" w:ascii="宋体" w:hAnsi="宋体" w:eastAsia="宋体" w:cs="宋体"/>
                <w:b w:val="0"/>
                <w:bCs w:val="0"/>
                <w:sz w:val="18"/>
                <w:szCs w:val="18"/>
                <w:highlight w:val="none"/>
              </w:rPr>
              <w:t>GB DDR4，为保证设备扩展性，需配置≥1 个内存扩展槽。</w:t>
            </w:r>
          </w:p>
          <w:p>
            <w:pPr>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contextualSpacing/>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显卡</w:t>
            </w:r>
            <w:r>
              <w:rPr>
                <w:rFonts w:hint="eastAsia" w:ascii="宋体" w:hAnsi="宋体" w:cs="宋体"/>
                <w:b w:val="0"/>
                <w:bCs w:val="0"/>
                <w:sz w:val="18"/>
                <w:szCs w:val="18"/>
                <w:highlight w:val="none"/>
                <w:lang w:eastAsia="zh-CN"/>
              </w:rPr>
              <w:t>：</w:t>
            </w:r>
            <w:r>
              <w:rPr>
                <w:rFonts w:hint="eastAsia" w:ascii="宋体" w:hAnsi="宋体" w:eastAsia="宋体" w:cs="宋体"/>
                <w:b w:val="0"/>
                <w:bCs w:val="0"/>
                <w:sz w:val="18"/>
                <w:szCs w:val="18"/>
                <w:highlight w:val="none"/>
              </w:rPr>
              <w:t>≥Intel UHD730（Intel超核显芯片）。</w:t>
            </w:r>
          </w:p>
          <w:p>
            <w:pPr>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contextualSpacing/>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存储：容量≥512G固态硬盘，支持双硬盘（M.2 SSD+2.5”HDD）</w:t>
            </w:r>
          </w:p>
          <w:p>
            <w:pPr>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contextualSpacing/>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显示功能：机身自带屏幕亮度按键调节功能且支持物理按键一键熄屏（隐私保护），提供实物图片和功能检测报告，加盖制造商公章；</w:t>
            </w:r>
          </w:p>
          <w:p>
            <w:pPr>
              <w:pStyle w:val="14"/>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ind w:firstLineChars="0"/>
              <w:contextualSpacing/>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网络：标准10/100/1000M网卡，内置双频无线WIFI模块（需提供制造厂商获得的中华人民共和国工业和信息化部无线电管理局核发的无线电发射设备型号核准证，加盖制造商公章）；</w:t>
            </w:r>
          </w:p>
          <w:p>
            <w:pPr>
              <w:pStyle w:val="14"/>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ind w:firstLineChars="0"/>
              <w:contextualSpacing/>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音箱：一体机集成；</w:t>
            </w:r>
          </w:p>
          <w:p>
            <w:pPr>
              <w:pStyle w:val="14"/>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ind w:firstLineChars="0"/>
              <w:contextualSpacing/>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外设：原厂同品牌键鼠套装；</w:t>
            </w:r>
          </w:p>
          <w:p>
            <w:pPr>
              <w:pStyle w:val="3"/>
              <w:keepNext w:val="0"/>
              <w:keepLines w:val="0"/>
              <w:pageBreakBefore w:val="0"/>
              <w:numPr>
                <w:ilvl w:val="0"/>
                <w:numId w:val="1"/>
              </w:numPr>
              <w:kinsoku/>
              <w:wordWrap/>
              <w:overflowPunct/>
              <w:topLinePunct w:val="0"/>
              <w:autoSpaceDE/>
              <w:autoSpaceDN/>
              <w:bidi w:val="0"/>
              <w:adjustRightInd/>
              <w:spacing w:line="312" w:lineRule="auto"/>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接口要求：USB 接口≥6个（包含主板端≥4个USB 3.0接口，机身侧面≥2个USB2.0 接口），≥1个千兆网口，≥1个HDMI接口，≥1组音频输入输出接口；</w:t>
            </w:r>
          </w:p>
          <w:p>
            <w:pPr>
              <w:pStyle w:val="3"/>
              <w:keepNext w:val="0"/>
              <w:keepLines w:val="0"/>
              <w:pageBreakBefore w:val="0"/>
              <w:numPr>
                <w:ilvl w:val="0"/>
                <w:numId w:val="1"/>
              </w:numPr>
              <w:kinsoku/>
              <w:wordWrap/>
              <w:overflowPunct/>
              <w:topLinePunct w:val="0"/>
              <w:autoSpaceDE/>
              <w:autoSpaceDN/>
              <w:bidi w:val="0"/>
              <w:adjustRightInd/>
              <w:spacing w:line="312" w:lineRule="auto"/>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电源：外置</w:t>
            </w:r>
            <w:r>
              <w:rPr>
                <w:rFonts w:hint="eastAsia" w:ascii="宋体" w:hAnsi="宋体" w:cs="宋体"/>
                <w:b w:val="0"/>
                <w:bCs w:val="0"/>
                <w:sz w:val="18"/>
                <w:szCs w:val="18"/>
                <w:lang w:val="en-US" w:eastAsia="zh-CN"/>
              </w:rPr>
              <w:t>原厂同品牌</w:t>
            </w:r>
            <w:r>
              <w:rPr>
                <w:rFonts w:hint="eastAsia" w:ascii="宋体" w:hAnsi="宋体" w:eastAsia="宋体" w:cs="宋体"/>
                <w:b w:val="0"/>
                <w:bCs w:val="0"/>
                <w:sz w:val="18"/>
                <w:szCs w:val="18"/>
              </w:rPr>
              <w:t>适配器供电≥120W（DC 19V）</w:t>
            </w:r>
            <w:r>
              <w:rPr>
                <w:rFonts w:hint="eastAsia" w:ascii="宋体" w:hAnsi="宋体" w:cs="宋体"/>
                <w:b w:val="0"/>
                <w:bCs w:val="0"/>
                <w:sz w:val="18"/>
                <w:szCs w:val="18"/>
                <w:lang w:val="en-US" w:eastAsia="zh-CN"/>
              </w:rPr>
              <w:t>；</w:t>
            </w:r>
          </w:p>
          <w:p>
            <w:pPr>
              <w:keepNext w:val="0"/>
              <w:keepLines w:val="0"/>
              <w:pageBreakBefore w:val="0"/>
              <w:numPr>
                <w:ilvl w:val="0"/>
                <w:numId w:val="1"/>
              </w:numPr>
              <w:kinsoku/>
              <w:wordWrap/>
              <w:overflowPunct/>
              <w:topLinePunct w:val="0"/>
              <w:autoSpaceDE/>
              <w:autoSpaceDN/>
              <w:bidi w:val="0"/>
              <w:adjustRightInd/>
              <w:spacing w:line="312" w:lineRule="auto"/>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≥1个抽屉式硬盘仓，实现免拆机维护2.5英寸规格硬盘；</w:t>
            </w:r>
          </w:p>
          <w:p>
            <w:pPr>
              <w:keepNext w:val="0"/>
              <w:keepLines w:val="0"/>
              <w:pageBreakBefore w:val="0"/>
              <w:widowControl/>
              <w:numPr>
                <w:ilvl w:val="0"/>
                <w:numId w:val="1"/>
              </w:numPr>
              <w:kinsoku/>
              <w:wordWrap/>
              <w:overflowPunct/>
              <w:topLinePunct w:val="0"/>
              <w:autoSpaceDE/>
              <w:autoSpaceDN/>
              <w:bidi w:val="0"/>
              <w:adjustRightInd/>
              <w:spacing w:before="100" w:beforeAutospacing="1" w:line="312" w:lineRule="auto"/>
              <w:contextualSpacing/>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提供整机</w:t>
            </w:r>
            <w:r>
              <w:rPr>
                <w:rFonts w:hint="eastAsia" w:ascii="宋体" w:hAnsi="宋体" w:cs="宋体"/>
                <w:b w:val="0"/>
                <w:bCs w:val="0"/>
                <w:sz w:val="18"/>
                <w:szCs w:val="18"/>
                <w:lang w:val="en-US" w:eastAsia="zh-CN"/>
              </w:rPr>
              <w:t>五</w:t>
            </w:r>
            <w:r>
              <w:rPr>
                <w:rFonts w:hint="eastAsia" w:ascii="宋体" w:hAnsi="宋体" w:eastAsia="宋体" w:cs="宋体"/>
                <w:b w:val="0"/>
                <w:bCs w:val="0"/>
                <w:sz w:val="18"/>
                <w:szCs w:val="18"/>
              </w:rPr>
              <w:t>年上门服务</w:t>
            </w:r>
            <w:r>
              <w:rPr>
                <w:rFonts w:hint="eastAsia" w:ascii="宋体" w:hAnsi="宋体" w:cs="宋体"/>
                <w:b w:val="0"/>
                <w:bCs w:val="0"/>
                <w:sz w:val="18"/>
                <w:szCs w:val="18"/>
                <w:lang w:eastAsia="zh-CN"/>
              </w:rPr>
              <w:t>；</w:t>
            </w:r>
          </w:p>
          <w:p>
            <w:pPr>
              <w:pStyle w:val="2"/>
              <w:keepNext w:val="0"/>
              <w:keepLines w:val="0"/>
              <w:pageBreakBefore w:val="0"/>
              <w:numPr>
                <w:ilvl w:val="0"/>
                <w:numId w:val="1"/>
              </w:numPr>
              <w:kinsoku/>
              <w:wordWrap/>
              <w:overflowPunct/>
              <w:topLinePunct w:val="0"/>
              <w:autoSpaceDE/>
              <w:autoSpaceDN/>
              <w:bidi w:val="0"/>
              <w:adjustRightInd/>
              <w:spacing w:before="100" w:beforeAutospacing="1" w:after="0" w:afterLines="0" w:line="312" w:lineRule="auto"/>
              <w:contextualSpacing/>
              <w:jc w:val="left"/>
              <w:textAlignment w:val="auto"/>
              <w:rPr>
                <w:rFonts w:hint="eastAsia" w:ascii="宋体" w:hAnsi="宋体" w:cs="宋体"/>
                <w:b w:val="0"/>
                <w:bCs w:val="0"/>
                <w:sz w:val="18"/>
                <w:szCs w:val="18"/>
                <w:lang w:eastAsia="zh-CN"/>
              </w:rPr>
            </w:pPr>
            <w:r>
              <w:rPr>
                <w:rFonts w:hint="eastAsia" w:ascii="宋体" w:hAnsi="宋体" w:eastAsia="宋体" w:cs="宋体"/>
                <w:b w:val="0"/>
                <w:bCs w:val="0"/>
                <w:sz w:val="18"/>
                <w:szCs w:val="18"/>
              </w:rPr>
              <w:t>需提供</w:t>
            </w:r>
            <w:r>
              <w:rPr>
                <w:rFonts w:hint="eastAsia" w:ascii="宋体" w:hAnsi="宋体" w:eastAsia="宋体" w:cs="宋体"/>
                <w:b w:val="0"/>
                <w:bCs w:val="0"/>
                <w:sz w:val="18"/>
                <w:szCs w:val="18"/>
                <w:lang w:val="en-US" w:eastAsia="zh-CN"/>
              </w:rPr>
              <w:t>产品</w:t>
            </w:r>
            <w:r>
              <w:rPr>
                <w:rFonts w:hint="eastAsia" w:ascii="宋体" w:hAnsi="宋体" w:eastAsia="宋体" w:cs="宋体"/>
                <w:b w:val="0"/>
                <w:bCs w:val="0"/>
                <w:sz w:val="18"/>
                <w:szCs w:val="18"/>
              </w:rPr>
              <w:t>中国强制3C认证、中国节能认证证书并加盖制造商公章</w:t>
            </w:r>
            <w:r>
              <w:rPr>
                <w:rFonts w:hint="eastAsia" w:ascii="宋体" w:hAnsi="宋体" w:cs="宋体"/>
                <w:b w:val="0"/>
                <w:bCs w:val="0"/>
                <w:sz w:val="18"/>
                <w:szCs w:val="18"/>
                <w:lang w:eastAsia="zh-CN"/>
              </w:rPr>
              <w:t>。</w:t>
            </w:r>
          </w:p>
        </w:tc>
        <w:tc>
          <w:tcPr>
            <w:tcW w:w="883" w:type="dxa"/>
          </w:tcPr>
          <w:p>
            <w:pPr>
              <w:widowControl/>
              <w:jc w:val="left"/>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联想、</w:t>
            </w:r>
          </w:p>
          <w:p>
            <w:pPr>
              <w:widowControl/>
              <w:jc w:val="left"/>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惠普、</w:t>
            </w:r>
            <w:r>
              <w:rPr>
                <w:rFonts w:hint="eastAsia" w:cs="宋体" w:asciiTheme="minorEastAsia" w:hAnsiTheme="minorEastAsia"/>
                <w:bCs/>
                <w:color w:val="000000" w:themeColor="text1"/>
                <w:kern w:val="0"/>
                <w:sz w:val="18"/>
                <w:szCs w:val="18"/>
                <w:lang w:val="en-US" w:eastAsia="zh-CN"/>
                <w14:textFill>
                  <w14:solidFill>
                    <w14:schemeClr w14:val="tx1"/>
                  </w14:solidFill>
                </w14:textFill>
              </w:rPr>
              <w:t>戴尔、</w:t>
            </w:r>
            <w:r>
              <w:rPr>
                <w:rFonts w:hint="eastAsia" w:cs="宋体" w:asciiTheme="minorEastAsia" w:hAnsiTheme="minorEastAsia"/>
                <w:bCs/>
                <w:color w:val="000000" w:themeColor="text1"/>
                <w:kern w:val="0"/>
                <w:sz w:val="18"/>
                <w:szCs w:val="18"/>
                <w14:textFill>
                  <w14:solidFill>
                    <w14:schemeClr w14:val="tx1"/>
                  </w14:solidFill>
                </w14:textFill>
              </w:rPr>
              <w:t>AOC等</w:t>
            </w:r>
          </w:p>
        </w:tc>
        <w:tc>
          <w:tcPr>
            <w:tcW w:w="651" w:type="dxa"/>
            <w:noWrap/>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台</w:t>
            </w:r>
          </w:p>
        </w:tc>
        <w:tc>
          <w:tcPr>
            <w:tcW w:w="660" w:type="dxa"/>
            <w:noWrap/>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cs="宋体" w:asciiTheme="minorEastAsia" w:hAnsiTheme="minorEastAsia"/>
                <w:bCs/>
                <w:color w:val="000000" w:themeColor="text1"/>
                <w:kern w:val="0"/>
                <w:sz w:val="18"/>
                <w:szCs w:val="18"/>
                <w14:textFill>
                  <w14:solidFill>
                    <w14:schemeClr w14:val="tx1"/>
                  </w14:solidFill>
                </w14:textFill>
              </w:rPr>
              <w:t>24</w:t>
            </w:r>
          </w:p>
        </w:tc>
        <w:tc>
          <w:tcPr>
            <w:tcW w:w="1260" w:type="dxa"/>
            <w:noWrap/>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p>
        </w:tc>
        <w:tc>
          <w:tcPr>
            <w:tcW w:w="1104" w:type="dxa"/>
            <w:noWrap/>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9061" w:type="dxa"/>
            <w:gridSpan w:val="8"/>
            <w:noWrap/>
            <w:vAlign w:val="center"/>
          </w:tcPr>
          <w:p>
            <w:pPr>
              <w:widowControl/>
              <w:jc w:val="center"/>
              <w:rPr>
                <w:rFonts w:cs="宋体" w:asciiTheme="minorEastAsia" w:hAnsiTheme="minorEastAsia"/>
                <w:bCs/>
                <w:color w:val="000000" w:themeColor="text1"/>
                <w:kern w:val="0"/>
                <w:sz w:val="18"/>
                <w:szCs w:val="18"/>
                <w14:textFill>
                  <w14:solidFill>
                    <w14:schemeClr w14:val="tx1"/>
                  </w14:solidFill>
                </w14:textFill>
              </w:rPr>
            </w:pPr>
            <w:r>
              <w:rPr>
                <w:rFonts w:hint="eastAsia" w:cs="宋体" w:asciiTheme="minorEastAsia" w:hAnsiTheme="minorEastAsia"/>
                <w:bCs/>
                <w:color w:val="000000" w:themeColor="text1"/>
                <w:kern w:val="0"/>
                <w:sz w:val="18"/>
                <w:szCs w:val="18"/>
                <w14:textFill>
                  <w14:solidFill>
                    <w14:schemeClr w14:val="tx1"/>
                  </w14:solidFill>
                </w14:textFill>
              </w:rPr>
              <w:t>合计：</w:t>
            </w:r>
          </w:p>
        </w:tc>
      </w:tr>
    </w:tbl>
    <w:p>
      <w:pPr>
        <w:jc w:val="left"/>
        <w:rPr>
          <w:rFonts w:ascii="宋体"/>
          <w:color w:val="000000"/>
          <w:szCs w:val="21"/>
        </w:rPr>
      </w:pPr>
      <w:r>
        <w:rPr>
          <w:rFonts w:hint="eastAsia" w:ascii="宋体" w:hAnsi="宋体"/>
          <w:color w:val="000000"/>
          <w:szCs w:val="21"/>
        </w:rPr>
        <w:t>供应商报价的品牌不限于上述要求、但规格参数要优于或同等、不能低于上述标准。</w:t>
      </w:r>
    </w:p>
    <w:p>
      <w:pPr>
        <w:widowControl/>
        <w:spacing w:line="360" w:lineRule="auto"/>
        <w:rPr>
          <w:rFonts w:ascii="宋体" w:hAnsi="宋体" w:cstheme="minorBidi"/>
          <w:color w:val="000000" w:themeColor="text1"/>
          <w:sz w:val="24"/>
          <w:szCs w:val="24"/>
          <w14:textFill>
            <w14:solidFill>
              <w14:schemeClr w14:val="tx1"/>
            </w14:solidFill>
          </w14:textFill>
        </w:rPr>
      </w:pPr>
    </w:p>
    <w:p>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响应</w:t>
      </w:r>
      <w:r>
        <w:rPr>
          <w:rFonts w:ascii="宋体" w:hAnsi="宋体" w:cstheme="minorBidi"/>
          <w:sz w:val="24"/>
          <w:szCs w:val="24"/>
        </w:rPr>
        <w:t>人名称（盖章）：</w:t>
      </w:r>
    </w:p>
    <w:p>
      <w:pPr>
        <w:widowControl/>
        <w:snapToGrid w:val="0"/>
        <w:spacing w:line="360" w:lineRule="auto"/>
        <w:jc w:val="left"/>
        <w:rPr>
          <w:rFonts w:hint="eastAsia" w:ascii="宋体" w:hAnsi="宋体" w:cstheme="minorBidi"/>
          <w:sz w:val="24"/>
          <w:szCs w:val="24"/>
        </w:rPr>
      </w:pPr>
      <w:r>
        <w:rPr>
          <w:rFonts w:ascii="宋体" w:hAnsi="宋体" w:cstheme="minorBidi"/>
          <w:sz w:val="24"/>
          <w:szCs w:val="24"/>
        </w:rPr>
        <w:t>法定代表人（或授权代表）签名：</w:t>
      </w:r>
    </w:p>
    <w:p>
      <w:pPr>
        <w:widowControl/>
        <w:snapToGrid w:val="0"/>
        <w:spacing w:line="360" w:lineRule="auto"/>
        <w:ind w:firstLine="2400" w:firstLineChars="1000"/>
        <w:jc w:val="left"/>
        <w:rPr>
          <w:rFonts w:ascii="宋体" w:hAnsi="宋体" w:cstheme="minorBidi"/>
          <w:sz w:val="24"/>
          <w:szCs w:val="24"/>
          <w:u w:val="single"/>
        </w:rPr>
      </w:pPr>
      <w:r>
        <w:rPr>
          <w:rFonts w:hint="eastAsia" w:ascii="宋体" w:hAnsi="宋体" w:cstheme="minorBidi"/>
          <w:sz w:val="24"/>
          <w:szCs w:val="24"/>
        </w:rPr>
        <w:t>联系电话</w:t>
      </w:r>
      <w:r>
        <w:rPr>
          <w:rFonts w:ascii="宋体" w:hAnsi="宋体" w:cstheme="minorBidi"/>
          <w:sz w:val="24"/>
          <w:szCs w:val="24"/>
        </w:rPr>
        <w:t>：</w:t>
      </w:r>
    </w:p>
    <w:p>
      <w:pPr>
        <w:rPr>
          <w:rFonts w:ascii="宋体" w:hAnsi="宋体"/>
        </w:rPr>
      </w:pPr>
      <w:bookmarkStart w:id="0" w:name="_GoBack"/>
      <w:bookmarkEnd w:id="0"/>
    </w:p>
    <w:p>
      <w:pPr>
        <w:rPr>
          <w:rFonts w:ascii="宋体" w:hAnsi="宋体"/>
        </w:rPr>
      </w:pPr>
    </w:p>
    <w:p>
      <w:pPr>
        <w:rPr>
          <w:rFonts w:hint="eastAsia"/>
        </w:rPr>
      </w:pPr>
    </w:p>
    <w:sectPr>
      <w:pgSz w:w="11906" w:h="16838"/>
      <w:pgMar w:top="1440" w:right="1797" w:bottom="1440" w:left="1134"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46E33"/>
    <w:multiLevelType w:val="multilevel"/>
    <w:tmpl w:val="7FB46E3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NDExYjZhN2I2NjM1MGU3OTY1OTUyYTRmNjU3NTMifQ=="/>
  </w:docVars>
  <w:rsids>
    <w:rsidRoot w:val="00725C37"/>
    <w:rsid w:val="002343EC"/>
    <w:rsid w:val="00725C37"/>
    <w:rsid w:val="008D190F"/>
    <w:rsid w:val="008F585F"/>
    <w:rsid w:val="00A96244"/>
    <w:rsid w:val="00AF646C"/>
    <w:rsid w:val="00EE2279"/>
    <w:rsid w:val="0E6416EA"/>
    <w:rsid w:val="1DBE4A11"/>
    <w:rsid w:val="2C6F607F"/>
    <w:rsid w:val="4A63155F"/>
    <w:rsid w:val="4C292B3A"/>
    <w:rsid w:val="4FC74D11"/>
    <w:rsid w:val="524737FE"/>
    <w:rsid w:val="54FC52D2"/>
    <w:rsid w:val="56562617"/>
    <w:rsid w:val="5E8E0A13"/>
    <w:rsid w:val="60510F71"/>
    <w:rsid w:val="624A69A4"/>
    <w:rsid w:val="717249F4"/>
    <w:rsid w:val="7CC12628"/>
    <w:rsid w:val="7D09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after="200" w:afterLines="50"/>
      <w:ind w:firstLine="42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autoRedefine/>
    <w:qFormat/>
    <w:uiPriority w:val="10"/>
    <w:pPr>
      <w:spacing w:before="240" w:after="60"/>
      <w:jc w:val="center"/>
      <w:outlineLvl w:val="0"/>
    </w:pPr>
    <w:rPr>
      <w:rFonts w:asciiTheme="majorHAnsi" w:hAnsiTheme="majorHAnsi" w:cstheme="majorBidi"/>
      <w:b/>
      <w:bCs/>
      <w:sz w:val="32"/>
      <w:szCs w:val="32"/>
    </w:rPr>
  </w:style>
  <w:style w:type="table" w:styleId="7">
    <w:name w:val="Table Grid"/>
    <w:basedOn w:val="6"/>
    <w:autoRedefine/>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页眉 字符"/>
    <w:basedOn w:val="8"/>
    <w:link w:val="4"/>
    <w:autoRedefine/>
    <w:qFormat/>
    <w:uiPriority w:val="99"/>
    <w:rPr>
      <w:rFonts w:ascii="Calibri" w:hAnsi="Calibri" w:eastAsia="宋体" w:cs="Times New Roman"/>
      <w:sz w:val="18"/>
      <w:szCs w:val="18"/>
    </w:rPr>
  </w:style>
  <w:style w:type="character" w:customStyle="1" w:styleId="10">
    <w:name w:val="页脚 字符"/>
    <w:basedOn w:val="8"/>
    <w:link w:val="3"/>
    <w:autoRedefine/>
    <w:qFormat/>
    <w:uiPriority w:val="99"/>
    <w:rPr>
      <w:rFonts w:ascii="Calibri" w:hAnsi="Calibri" w:eastAsia="宋体" w:cs="Times New Roman"/>
      <w:sz w:val="18"/>
      <w:szCs w:val="18"/>
    </w:rPr>
  </w:style>
  <w:style w:type="table" w:customStyle="1" w:styleId="11">
    <w:name w:val="网格型1"/>
    <w:basedOn w:val="6"/>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font51"/>
    <w:basedOn w:val="8"/>
    <w:autoRedefine/>
    <w:qFormat/>
    <w:uiPriority w:val="0"/>
    <w:rPr>
      <w:rFonts w:hint="eastAsia" w:ascii="宋体" w:hAnsi="宋体" w:eastAsia="宋体"/>
      <w:color w:val="000000"/>
      <w:sz w:val="20"/>
      <w:szCs w:val="20"/>
      <w:u w:val="none"/>
    </w:rPr>
  </w:style>
  <w:style w:type="character" w:customStyle="1" w:styleId="13">
    <w:name w:val="font31"/>
    <w:basedOn w:val="8"/>
    <w:autoRedefine/>
    <w:qFormat/>
    <w:uiPriority w:val="0"/>
    <w:rPr>
      <w:rFonts w:hint="eastAsia" w:ascii="宋体" w:hAnsi="宋体" w:eastAsia="宋体"/>
      <w:color w:val="000000"/>
      <w:sz w:val="18"/>
      <w:szCs w:val="18"/>
      <w:u w:val="none"/>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956</Words>
  <Characters>1091</Characters>
  <Lines>7</Lines>
  <Paragraphs>2</Paragraphs>
  <TotalTime>0</TotalTime>
  <ScaleCrop>false</ScaleCrop>
  <LinksUpToDate>false</LinksUpToDate>
  <CharactersWithSpaces>1101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2023-06-01T01:31:00Z</dcterms:created>
  <dc:creator>internet3</dc:creator>
  <cp:lastModifiedBy>孟伶俊</cp:lastModifiedBy>
  <dcterms:modified xsi:type="dcterms:W3CDTF">2024-05-11T09:55:27Z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66109C27400E4937AF6DD0D95B11210F_12</vt:lpwstr>
  </property>
</Properties>
</file>