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宋体" w:cs="Times New Roman"/>
          <w:b w:val="0"/>
          <w:bCs w:val="0"/>
          <w:color w:val="auto"/>
          <w:sz w:val="32"/>
          <w:szCs w:val="40"/>
          <w:highlight w:val="none"/>
        </w:rPr>
      </w:pPr>
      <w:bookmarkStart w:id="22" w:name="_GoBack"/>
      <w:bookmarkEnd w:id="22"/>
      <w:r>
        <w:rPr>
          <w:rFonts w:hint="eastAsia" w:ascii="Times New Roman" w:hAnsi="Times New Roman" w:eastAsia="宋体" w:cs="Times New Roman"/>
          <w:b w:val="0"/>
          <w:bCs w:val="0"/>
          <w:color w:val="auto"/>
          <w:sz w:val="32"/>
          <w:szCs w:val="40"/>
          <w:highlight w:val="none"/>
        </w:rPr>
        <w:t>中山市中医院人力资源管理系统</w:t>
      </w:r>
      <w:r>
        <w:rPr>
          <w:rFonts w:hint="eastAsia" w:ascii="Times New Roman" w:hAnsi="Times New Roman" w:eastAsia="宋体" w:cs="Times New Roman"/>
          <w:b w:val="0"/>
          <w:bCs w:val="0"/>
          <w:color w:val="auto"/>
          <w:sz w:val="32"/>
          <w:szCs w:val="40"/>
          <w:highlight w:val="none"/>
          <w:lang w:val="en-US" w:eastAsia="zh-CN"/>
        </w:rPr>
        <w:t>应用拓展项目</w:t>
      </w:r>
      <w:r>
        <w:rPr>
          <w:rFonts w:hint="eastAsia" w:ascii="Times New Roman" w:hAnsi="Times New Roman" w:eastAsia="宋体" w:cs="Times New Roman"/>
          <w:b w:val="0"/>
          <w:bCs w:val="0"/>
          <w:color w:val="auto"/>
          <w:sz w:val="32"/>
          <w:szCs w:val="40"/>
          <w:highlight w:val="none"/>
        </w:rPr>
        <w:t>需求</w:t>
      </w:r>
    </w:p>
    <w:p>
      <w:pPr>
        <w:keepNext/>
        <w:keepLines/>
        <w:adjustRightInd w:val="0"/>
        <w:spacing w:before="156" w:beforeLines="50" w:after="156" w:afterLines="50" w:line="360" w:lineRule="auto"/>
        <w:textAlignment w:val="baseline"/>
        <w:outlineLvl w:val="0"/>
        <w:rPr>
          <w:rFonts w:ascii="Times New Roman" w:hAnsi="Times New Roman" w:eastAsia="宋体" w:cs="Times New Roman"/>
          <w:b w:val="0"/>
          <w:bCs w:val="0"/>
          <w:color w:val="auto"/>
          <w:kern w:val="44"/>
          <w:sz w:val="32"/>
          <w:szCs w:val="32"/>
          <w:highlight w:val="none"/>
        </w:rPr>
      </w:pPr>
      <w:r>
        <w:rPr>
          <w:rFonts w:hint="eastAsia" w:ascii="Times New Roman" w:hAnsi="Times New Roman" w:eastAsia="宋体" w:cs="Times New Roman"/>
          <w:b w:val="0"/>
          <w:bCs w:val="0"/>
          <w:color w:val="auto"/>
          <w:kern w:val="44"/>
          <w:sz w:val="32"/>
          <w:szCs w:val="32"/>
          <w:highlight w:val="none"/>
        </w:rPr>
        <w:t>项目背景</w:t>
      </w:r>
    </w:p>
    <w:p>
      <w:pPr>
        <w:spacing w:line="360" w:lineRule="auto"/>
        <w:ind w:firstLine="420" w:firstLineChars="200"/>
        <w:rPr>
          <w:rFonts w:ascii="Times New Roman" w:hAnsi="Times New Roman" w:eastAsia="宋体" w:cs="Times New Roman"/>
          <w:b w:val="0"/>
          <w:bCs w:val="0"/>
          <w:color w:val="auto"/>
          <w:szCs w:val="24"/>
          <w:highlight w:val="none"/>
        </w:rPr>
      </w:pPr>
      <w:r>
        <w:rPr>
          <w:rFonts w:hint="eastAsia" w:ascii="Times New Roman" w:hAnsi="Times New Roman" w:eastAsia="宋体" w:cs="Times New Roman"/>
          <w:b w:val="0"/>
          <w:bCs w:val="0"/>
          <w:color w:val="auto"/>
          <w:szCs w:val="24"/>
          <w:highlight w:val="none"/>
        </w:rPr>
        <w:t>中山市中医院创建于1957年，是一所集医疗、教学、科研、预防保健于一体的综合性中医医院，广州中医药大学非直属附属医院，1993年成为国家首批三级甲等中医院、国家示范中医院，是广东省中医名院。近几年，国家发布了一系列的医院人力资源建设的指导意见，例如：2021年3月发布的《医院智慧管理分级评估标准体系（试行）》、2022年4月25日发布的《关于印发公立医院运营管理信息化功能指引的通知》等，都明确了医院人力资源信息化的建设要求，国家越来越重视医院信息化的发展。同时，随着医院人力资源管理的体制、业务深度和精细程度不断的变化和提升，对人力资源管理软件的要求也越来越高。</w:t>
      </w:r>
    </w:p>
    <w:p>
      <w:pPr>
        <w:widowControl/>
        <w:snapToGrid w:val="0"/>
        <w:spacing w:line="360" w:lineRule="auto"/>
        <w:ind w:firstLine="420" w:firstLineChars="200"/>
        <w:jc w:val="left"/>
        <w:rPr>
          <w:rFonts w:ascii="宋体" w:hAnsi="宋体" w:eastAsia="宋体" w:cs="Times New Roman"/>
          <w:b w:val="0"/>
          <w:bCs w:val="0"/>
          <w:color w:val="auto"/>
          <w:kern w:val="0"/>
          <w:szCs w:val="21"/>
          <w:highlight w:val="none"/>
        </w:rPr>
      </w:pPr>
      <w:r>
        <w:rPr>
          <w:rFonts w:hint="eastAsia" w:ascii="宋体" w:hAnsi="宋体" w:eastAsia="宋体" w:cs="Times New Roman"/>
          <w:b w:val="0"/>
          <w:bCs w:val="0"/>
          <w:color w:val="auto"/>
          <w:kern w:val="0"/>
          <w:szCs w:val="21"/>
          <w:highlight w:val="none"/>
        </w:rPr>
        <w:t>医院于2023年进行了人力资源管理系统（一期）建设，一，建设模块有：组织机构、人员管理、预警管理、人事流程管理、劳动合同管理、报表管理、考勤管理、薪资管理、专家中心、自助服务、移动端等。本次拟在原有人力资源信息系统框架的基础上，根据建设规划新增人力资源信息化建设需求，拓展建设招聘管理（含微招聘、人才管理（含人才库管理、人才画像）、绩效考核、职称管理、岗位竞聘管理、领导桌面、出国出境管理、证照管理等功能模块，以满足医院智慧医院建设的需求。</w:t>
      </w:r>
    </w:p>
    <w:p>
      <w:pPr>
        <w:keepNext/>
        <w:keepLines/>
        <w:adjustRightInd w:val="0"/>
        <w:spacing w:before="156" w:beforeLines="50" w:after="156" w:afterLines="50" w:line="360" w:lineRule="auto"/>
        <w:textAlignment w:val="baseline"/>
        <w:outlineLvl w:val="0"/>
        <w:rPr>
          <w:rFonts w:ascii="Times New Roman" w:hAnsi="Times New Roman" w:eastAsia="宋体" w:cs="Times New Roman"/>
          <w:b w:val="0"/>
          <w:bCs w:val="0"/>
          <w:color w:val="auto"/>
          <w:kern w:val="44"/>
          <w:sz w:val="32"/>
          <w:szCs w:val="32"/>
          <w:highlight w:val="none"/>
        </w:rPr>
      </w:pPr>
      <w:r>
        <w:rPr>
          <w:rFonts w:ascii="Times New Roman" w:hAnsi="Times New Roman" w:eastAsia="宋体" w:cs="Times New Roman"/>
          <w:b w:val="0"/>
          <w:bCs w:val="0"/>
          <w:color w:val="auto"/>
          <w:kern w:val="44"/>
          <w:sz w:val="32"/>
          <w:szCs w:val="32"/>
          <w:highlight w:val="none"/>
        </w:rPr>
        <w:t>项目内容</w:t>
      </w:r>
    </w:p>
    <w:p>
      <w:pPr>
        <w:spacing w:line="360" w:lineRule="auto"/>
        <w:ind w:firstLine="420" w:firstLineChars="200"/>
        <w:jc w:val="left"/>
        <w:rPr>
          <w:rFonts w:ascii="Times New Roman" w:hAnsi="Times New Roman" w:eastAsia="宋体" w:cs="Times New Roman"/>
          <w:b w:val="0"/>
          <w:bCs w:val="0"/>
          <w:color w:val="auto"/>
          <w:szCs w:val="24"/>
          <w:highlight w:val="none"/>
        </w:rPr>
      </w:pPr>
      <w:r>
        <w:rPr>
          <w:rFonts w:hint="eastAsia" w:ascii="Times New Roman" w:hAnsi="Times New Roman" w:eastAsia="宋体" w:cs="Times New Roman"/>
          <w:b w:val="0"/>
          <w:bCs w:val="0"/>
          <w:color w:val="auto"/>
          <w:szCs w:val="24"/>
          <w:highlight w:val="none"/>
        </w:rPr>
        <w:t>医院人力资源管理系统秉承以人为本的理念，以价值驱动为核心，进行产品规划和设计，从效率提升、业务协同、决策分析、应用集成四个层面构建人事管理平台，结合在医院人事管理信息化领域多年积累，推出的医院</w:t>
      </w:r>
      <w:r>
        <w:rPr>
          <w:rFonts w:hint="eastAsia" w:ascii="宋体" w:hAnsi="宋体" w:eastAsia="宋体" w:cs="Times New Roman"/>
          <w:b w:val="0"/>
          <w:bCs w:val="0"/>
          <w:color w:val="auto"/>
          <w:kern w:val="0"/>
          <w:szCs w:val="21"/>
          <w:highlight w:val="none"/>
        </w:rPr>
        <w:t>人事管理</w:t>
      </w:r>
      <w:r>
        <w:rPr>
          <w:rFonts w:hint="eastAsia" w:ascii="Times New Roman" w:hAnsi="Times New Roman" w:eastAsia="宋体" w:cs="Times New Roman"/>
          <w:b w:val="0"/>
          <w:bCs w:val="0"/>
          <w:color w:val="auto"/>
          <w:szCs w:val="24"/>
          <w:highlight w:val="none"/>
        </w:rPr>
        <w:t>信息化解决方案。</w:t>
      </w:r>
      <w:r>
        <w:rPr>
          <w:rFonts w:hint="eastAsia" w:ascii="宋体" w:hAnsi="宋体" w:eastAsia="宋体" w:cs="Times New Roman"/>
          <w:b w:val="0"/>
          <w:bCs w:val="0"/>
          <w:color w:val="auto"/>
          <w:kern w:val="0"/>
          <w:szCs w:val="21"/>
          <w:highlight w:val="none"/>
        </w:rPr>
        <w:t>人力资源管理系统</w:t>
      </w:r>
      <w:r>
        <w:rPr>
          <w:rFonts w:hint="eastAsia" w:ascii="Times New Roman" w:hAnsi="Times New Roman" w:eastAsia="宋体" w:cs="Times New Roman"/>
          <w:b w:val="0"/>
          <w:bCs w:val="0"/>
          <w:color w:val="auto"/>
          <w:szCs w:val="24"/>
          <w:highlight w:val="none"/>
        </w:rPr>
        <w:t>可全面支撑医院在员工招聘面试管理、人才库管理、绩效考核、测评管理、岗位竞聘管理等应用操作。同时，</w:t>
      </w:r>
      <w:r>
        <w:rPr>
          <w:rFonts w:hint="eastAsia" w:ascii="宋体" w:hAnsi="宋体" w:eastAsia="宋体" w:cs="Times New Roman"/>
          <w:b w:val="0"/>
          <w:bCs w:val="0"/>
          <w:color w:val="auto"/>
          <w:kern w:val="0"/>
          <w:szCs w:val="21"/>
          <w:highlight w:val="none"/>
        </w:rPr>
        <w:t>人力资源管理系统</w:t>
      </w:r>
      <w:r>
        <w:rPr>
          <w:rFonts w:hint="eastAsia" w:ascii="Times New Roman" w:hAnsi="Times New Roman" w:eastAsia="宋体" w:cs="Times New Roman"/>
          <w:b w:val="0"/>
          <w:bCs w:val="0"/>
          <w:color w:val="auto"/>
          <w:szCs w:val="24"/>
          <w:highlight w:val="none"/>
        </w:rPr>
        <w:t>的全面应用开展，可有效推进医院SSC（共享服务中心）的建设。</w:t>
      </w:r>
    </w:p>
    <w:p>
      <w:pPr>
        <w:spacing w:before="25" w:after="25"/>
        <w:ind w:firstLine="640"/>
        <w:jc w:val="left"/>
        <w:rPr>
          <w:rFonts w:ascii="Times New Roman" w:hAnsi="Times New Roman" w:eastAsia="宋体" w:cs="Times New Roman"/>
          <w:b w:val="0"/>
          <w:bCs w:val="0"/>
          <w:color w:val="auto"/>
          <w:spacing w:val="10"/>
          <w:kern w:val="0"/>
          <w:sz w:val="24"/>
          <w:szCs w:val="20"/>
          <w:highlight w:val="none"/>
          <w:lang w:val="zh-CN"/>
        </w:rPr>
      </w:pPr>
    </w:p>
    <w:tbl>
      <w:tblPr>
        <w:tblStyle w:val="6"/>
        <w:tblW w:w="8425" w:type="dxa"/>
        <w:tblInd w:w="0" w:type="dxa"/>
        <w:tblLayout w:type="fixed"/>
        <w:tblCellMar>
          <w:top w:w="38" w:type="dxa"/>
          <w:left w:w="109" w:type="dxa"/>
          <w:bottom w:w="0" w:type="dxa"/>
          <w:right w:w="0" w:type="dxa"/>
        </w:tblCellMar>
      </w:tblPr>
      <w:tblGrid>
        <w:gridCol w:w="783"/>
        <w:gridCol w:w="1594"/>
        <w:gridCol w:w="1488"/>
        <w:gridCol w:w="1095"/>
        <w:gridCol w:w="3465"/>
      </w:tblGrid>
      <w:tr>
        <w:tblPrEx>
          <w:tblCellMar>
            <w:top w:w="38" w:type="dxa"/>
            <w:left w:w="109" w:type="dxa"/>
            <w:bottom w:w="0" w:type="dxa"/>
            <w:right w:w="0" w:type="dxa"/>
          </w:tblCellMar>
        </w:tblPrEx>
        <w:trPr>
          <w:trHeight w:val="140" w:hRule="atLeast"/>
        </w:trPr>
        <w:tc>
          <w:tcPr>
            <w:tcW w:w="783" w:type="dxa"/>
            <w:tcBorders>
              <w:top w:val="single" w:color="000000" w:sz="8" w:space="0"/>
              <w:left w:val="single" w:color="000000" w:sz="8" w:space="0"/>
              <w:bottom w:val="single" w:color="000000" w:sz="8" w:space="0"/>
              <w:right w:val="single" w:color="000000" w:sz="8" w:space="0"/>
            </w:tcBorders>
            <w:shd w:val="clear" w:color="auto" w:fill="D9D9D9"/>
          </w:tcPr>
          <w:p>
            <w:pPr>
              <w:spacing w:line="360" w:lineRule="auto"/>
              <w:ind w:left="52"/>
              <w:rPr>
                <w:rFonts w:ascii="等线" w:hAnsi="等线" w:eastAsia="等线" w:cs="Times New Roman"/>
                <w:b w:val="0"/>
                <w:bCs w:val="0"/>
                <w:color w:val="auto"/>
                <w:szCs w:val="21"/>
                <w:highlight w:val="none"/>
              </w:rPr>
            </w:pPr>
            <w:r>
              <w:rPr>
                <w:rFonts w:ascii="宋体" w:hAnsi="宋体" w:eastAsia="等线" w:cs="宋体"/>
                <w:b w:val="0"/>
                <w:bCs w:val="0"/>
                <w:color w:val="auto"/>
                <w:szCs w:val="21"/>
                <w:highlight w:val="none"/>
              </w:rPr>
              <w:t xml:space="preserve">序号 </w:t>
            </w:r>
          </w:p>
        </w:tc>
        <w:tc>
          <w:tcPr>
            <w:tcW w:w="1594" w:type="dxa"/>
            <w:tcBorders>
              <w:top w:val="single" w:color="auto" w:sz="4" w:space="0"/>
              <w:left w:val="single" w:color="000000" w:sz="8" w:space="0"/>
              <w:bottom w:val="single" w:color="000000" w:sz="8" w:space="0"/>
              <w:right w:val="single" w:color="auto" w:sz="4" w:space="0"/>
            </w:tcBorders>
            <w:shd w:val="clear" w:color="auto" w:fill="D9D9D9"/>
          </w:tcPr>
          <w:p>
            <w:pPr>
              <w:spacing w:line="360" w:lineRule="auto"/>
              <w:ind w:right="107"/>
              <w:jc w:val="center"/>
              <w:rPr>
                <w:rFonts w:ascii="等线" w:hAnsi="等线" w:eastAsia="等线" w:cs="Times New Roman"/>
                <w:b w:val="0"/>
                <w:bCs w:val="0"/>
                <w:color w:val="auto"/>
                <w:szCs w:val="21"/>
                <w:highlight w:val="none"/>
              </w:rPr>
            </w:pPr>
            <w:r>
              <w:rPr>
                <w:rFonts w:ascii="宋体" w:hAnsi="宋体" w:eastAsia="等线" w:cs="宋体"/>
                <w:b w:val="0"/>
                <w:bCs w:val="0"/>
                <w:color w:val="auto"/>
                <w:szCs w:val="21"/>
                <w:highlight w:val="none"/>
              </w:rPr>
              <w:t xml:space="preserve">系统名称 </w:t>
            </w:r>
          </w:p>
        </w:tc>
        <w:tc>
          <w:tcPr>
            <w:tcW w:w="1488" w:type="dxa"/>
            <w:tcBorders>
              <w:top w:val="single" w:color="auto" w:sz="4" w:space="0"/>
              <w:left w:val="single" w:color="auto" w:sz="4" w:space="0"/>
              <w:bottom w:val="single" w:color="000000" w:sz="8" w:space="0"/>
              <w:right w:val="single" w:color="auto" w:sz="4" w:space="0"/>
            </w:tcBorders>
            <w:shd w:val="clear" w:color="auto" w:fill="D9D9D9"/>
          </w:tcPr>
          <w:p>
            <w:pPr>
              <w:spacing w:line="360" w:lineRule="auto"/>
              <w:ind w:right="107"/>
              <w:jc w:val="center"/>
              <w:rPr>
                <w:rFonts w:ascii="等线" w:hAnsi="等线" w:eastAsia="等线" w:cs="Times New Roman"/>
                <w:b w:val="0"/>
                <w:bCs w:val="0"/>
                <w:color w:val="auto"/>
                <w:szCs w:val="21"/>
                <w:highlight w:val="none"/>
              </w:rPr>
            </w:pPr>
            <w:r>
              <w:rPr>
                <w:rFonts w:hint="eastAsia" w:ascii="宋体" w:hAnsi="宋体" w:eastAsia="等线" w:cs="宋体"/>
                <w:b w:val="0"/>
                <w:bCs w:val="0"/>
                <w:color w:val="auto"/>
                <w:szCs w:val="21"/>
                <w:highlight w:val="none"/>
              </w:rPr>
              <w:t>预算金额</w:t>
            </w:r>
          </w:p>
        </w:tc>
        <w:tc>
          <w:tcPr>
            <w:tcW w:w="1095" w:type="dxa"/>
            <w:tcBorders>
              <w:top w:val="single" w:color="auto" w:sz="4" w:space="0"/>
              <w:left w:val="single" w:color="auto" w:sz="4" w:space="0"/>
              <w:bottom w:val="single" w:color="000000" w:sz="8" w:space="0"/>
              <w:right w:val="single" w:color="000000" w:sz="8" w:space="0"/>
            </w:tcBorders>
            <w:shd w:val="clear" w:color="auto" w:fill="D9D9D9"/>
          </w:tcPr>
          <w:p>
            <w:pPr>
              <w:spacing w:line="360" w:lineRule="auto"/>
              <w:ind w:right="107"/>
              <w:jc w:val="center"/>
              <w:rPr>
                <w:rFonts w:ascii="等线" w:hAnsi="等线" w:eastAsia="等线" w:cs="Times New Roman"/>
                <w:b w:val="0"/>
                <w:bCs w:val="0"/>
                <w:color w:val="auto"/>
                <w:szCs w:val="21"/>
                <w:highlight w:val="none"/>
              </w:rPr>
            </w:pPr>
            <w:r>
              <w:rPr>
                <w:rFonts w:hint="eastAsia" w:ascii="宋体" w:hAnsi="宋体" w:eastAsia="等线" w:cs="宋体"/>
                <w:b w:val="0"/>
                <w:bCs w:val="0"/>
                <w:color w:val="auto"/>
                <w:szCs w:val="21"/>
                <w:highlight w:val="none"/>
              </w:rPr>
              <w:t>数量</w:t>
            </w:r>
          </w:p>
        </w:tc>
        <w:tc>
          <w:tcPr>
            <w:tcW w:w="3465" w:type="dxa"/>
            <w:tcBorders>
              <w:top w:val="single" w:color="000000" w:sz="8" w:space="0"/>
              <w:left w:val="single" w:color="000000" w:sz="8" w:space="0"/>
              <w:bottom w:val="single" w:color="000000" w:sz="8" w:space="0"/>
              <w:right w:val="single" w:color="000000" w:sz="8" w:space="0"/>
            </w:tcBorders>
            <w:shd w:val="clear" w:color="auto" w:fill="D9D9D9"/>
          </w:tcPr>
          <w:p>
            <w:pPr>
              <w:spacing w:line="360" w:lineRule="auto"/>
              <w:ind w:right="104"/>
              <w:jc w:val="center"/>
              <w:rPr>
                <w:rFonts w:ascii="等线" w:hAnsi="等线" w:eastAsia="等线" w:cs="Times New Roman"/>
                <w:b w:val="0"/>
                <w:bCs w:val="0"/>
                <w:color w:val="auto"/>
                <w:szCs w:val="21"/>
                <w:highlight w:val="none"/>
              </w:rPr>
            </w:pPr>
            <w:r>
              <w:rPr>
                <w:rFonts w:ascii="宋体" w:hAnsi="宋体" w:eastAsia="等线" w:cs="宋体"/>
                <w:b w:val="0"/>
                <w:bCs w:val="0"/>
                <w:color w:val="auto"/>
                <w:szCs w:val="21"/>
                <w:highlight w:val="none"/>
              </w:rPr>
              <w:t xml:space="preserve">建设内容 </w:t>
            </w:r>
          </w:p>
        </w:tc>
      </w:tr>
      <w:tr>
        <w:tblPrEx>
          <w:tblCellMar>
            <w:top w:w="38" w:type="dxa"/>
            <w:left w:w="109" w:type="dxa"/>
            <w:bottom w:w="0" w:type="dxa"/>
            <w:right w:w="0" w:type="dxa"/>
          </w:tblCellMar>
        </w:tblPrEx>
        <w:trPr>
          <w:trHeight w:val="521" w:hRule="atLeast"/>
        </w:trPr>
        <w:tc>
          <w:tcPr>
            <w:tcW w:w="783" w:type="dxa"/>
            <w:tcBorders>
              <w:top w:val="single" w:color="000000" w:sz="8" w:space="0"/>
              <w:left w:val="single" w:color="000000" w:sz="8" w:space="0"/>
              <w:bottom w:val="single" w:color="000000" w:sz="8" w:space="0"/>
              <w:right w:val="single" w:color="000000" w:sz="8" w:space="0"/>
            </w:tcBorders>
            <w:vAlign w:val="center"/>
          </w:tcPr>
          <w:p>
            <w:pPr>
              <w:spacing w:line="360" w:lineRule="auto"/>
              <w:ind w:right="108"/>
              <w:jc w:val="center"/>
              <w:rPr>
                <w:rFonts w:ascii="等线" w:hAnsi="等线" w:eastAsia="等线" w:cs="Times New Roman"/>
                <w:b w:val="0"/>
                <w:bCs w:val="0"/>
                <w:color w:val="auto"/>
                <w:szCs w:val="21"/>
                <w:highlight w:val="none"/>
              </w:rPr>
            </w:pPr>
            <w:r>
              <w:rPr>
                <w:rFonts w:ascii="宋体" w:hAnsi="宋体" w:eastAsia="等线" w:cs="宋体"/>
                <w:b w:val="0"/>
                <w:bCs w:val="0"/>
                <w:color w:val="auto"/>
                <w:szCs w:val="21"/>
                <w:highlight w:val="none"/>
              </w:rPr>
              <w:t>1</w:t>
            </w:r>
          </w:p>
        </w:tc>
        <w:tc>
          <w:tcPr>
            <w:tcW w:w="1594" w:type="dxa"/>
            <w:tcBorders>
              <w:top w:val="single" w:color="000000" w:sz="8" w:space="0"/>
              <w:left w:val="single" w:color="000000" w:sz="8" w:space="0"/>
              <w:bottom w:val="single" w:color="000000" w:sz="8" w:space="0"/>
              <w:right w:val="single" w:color="auto" w:sz="4" w:space="0"/>
            </w:tcBorders>
            <w:vAlign w:val="center"/>
          </w:tcPr>
          <w:p>
            <w:pPr>
              <w:spacing w:line="360" w:lineRule="auto"/>
              <w:jc w:val="center"/>
              <w:rPr>
                <w:rFonts w:ascii="等线" w:hAnsi="等线" w:eastAsia="宋体" w:cs="Times New Roman"/>
                <w:b w:val="0"/>
                <w:bCs w:val="0"/>
                <w:color w:val="auto"/>
                <w:szCs w:val="21"/>
                <w:highlight w:val="none"/>
              </w:rPr>
            </w:pPr>
            <w:r>
              <w:rPr>
                <w:rFonts w:hint="eastAsia" w:ascii="宋体" w:hAnsi="宋体" w:eastAsia="宋体" w:cs="Times New Roman"/>
                <w:b w:val="0"/>
                <w:bCs w:val="0"/>
                <w:color w:val="auto"/>
                <w:kern w:val="0"/>
                <w:szCs w:val="21"/>
                <w:highlight w:val="none"/>
              </w:rPr>
              <w:t>人力资源管理系统（应用拓展）</w:t>
            </w:r>
          </w:p>
        </w:tc>
        <w:tc>
          <w:tcPr>
            <w:tcW w:w="1488" w:type="dxa"/>
            <w:tcBorders>
              <w:top w:val="single" w:color="000000" w:sz="8" w:space="0"/>
              <w:left w:val="single" w:color="auto" w:sz="4" w:space="0"/>
              <w:bottom w:val="single" w:color="000000" w:sz="8" w:space="0"/>
              <w:right w:val="single" w:color="auto" w:sz="4" w:space="0"/>
            </w:tcBorders>
            <w:vAlign w:val="center"/>
          </w:tcPr>
          <w:p>
            <w:pPr>
              <w:spacing w:line="360" w:lineRule="auto"/>
              <w:jc w:val="center"/>
              <w:rPr>
                <w:rFonts w:ascii="等线" w:hAnsi="等线" w:eastAsia="等线" w:cs="Times New Roman"/>
                <w:b w:val="0"/>
                <w:bCs w:val="0"/>
                <w:color w:val="auto"/>
                <w:szCs w:val="21"/>
                <w:highlight w:val="none"/>
              </w:rPr>
            </w:pPr>
            <w:r>
              <w:rPr>
                <w:rFonts w:hint="eastAsia" w:ascii="等线" w:hAnsi="等线" w:eastAsia="宋体" w:cs="Times New Roman"/>
                <w:b w:val="0"/>
                <w:bCs w:val="0"/>
                <w:color w:val="auto"/>
                <w:szCs w:val="21"/>
                <w:highlight w:val="none"/>
              </w:rPr>
              <w:t>1</w:t>
            </w:r>
            <w:r>
              <w:rPr>
                <w:rFonts w:ascii="等线" w:hAnsi="等线" w:eastAsia="宋体" w:cs="Times New Roman"/>
                <w:b w:val="0"/>
                <w:bCs w:val="0"/>
                <w:color w:val="auto"/>
                <w:szCs w:val="21"/>
                <w:highlight w:val="none"/>
              </w:rPr>
              <w:t>00</w:t>
            </w:r>
            <w:r>
              <w:rPr>
                <w:rFonts w:hint="eastAsia" w:ascii="等线" w:hAnsi="等线" w:eastAsia="宋体" w:cs="Times New Roman"/>
                <w:b w:val="0"/>
                <w:bCs w:val="0"/>
                <w:color w:val="auto"/>
                <w:szCs w:val="21"/>
                <w:highlight w:val="none"/>
              </w:rPr>
              <w:t>万</w:t>
            </w:r>
          </w:p>
        </w:tc>
        <w:tc>
          <w:tcPr>
            <w:tcW w:w="1095"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rPr>
                <w:rFonts w:ascii="等线" w:hAnsi="等线" w:eastAsia="等线" w:cs="Times New Roman"/>
                <w:b w:val="0"/>
                <w:bCs w:val="0"/>
                <w:color w:val="auto"/>
                <w:szCs w:val="21"/>
                <w:highlight w:val="none"/>
              </w:rPr>
            </w:pPr>
            <w:r>
              <w:rPr>
                <w:rFonts w:hint="eastAsia" w:ascii="等线" w:hAnsi="等线" w:eastAsia="宋体" w:cs="Times New Roman"/>
                <w:b w:val="0"/>
                <w:bCs w:val="0"/>
                <w:color w:val="auto"/>
                <w:szCs w:val="21"/>
                <w:highlight w:val="none"/>
              </w:rPr>
              <w:t>一套</w:t>
            </w:r>
          </w:p>
        </w:tc>
        <w:tc>
          <w:tcPr>
            <w:tcW w:w="3465" w:type="dxa"/>
            <w:tcBorders>
              <w:top w:val="single" w:color="000000" w:sz="8" w:space="0"/>
              <w:left w:val="single" w:color="000000" w:sz="8" w:space="0"/>
              <w:bottom w:val="single" w:color="000000" w:sz="8" w:space="0"/>
              <w:right w:val="single" w:color="000000" w:sz="8" w:space="0"/>
            </w:tcBorders>
            <w:vAlign w:val="center"/>
          </w:tcPr>
          <w:p>
            <w:pPr>
              <w:spacing w:line="360" w:lineRule="auto"/>
              <w:jc w:val="center"/>
              <w:rPr>
                <w:rFonts w:ascii="等线" w:hAnsi="等线" w:eastAsia="宋体" w:cs="Times New Roman"/>
                <w:b w:val="0"/>
                <w:bCs w:val="0"/>
                <w:color w:val="auto"/>
                <w:szCs w:val="21"/>
                <w:highlight w:val="none"/>
              </w:rPr>
            </w:pPr>
            <w:r>
              <w:rPr>
                <w:rFonts w:hint="eastAsia" w:ascii="等线" w:hAnsi="等线" w:eastAsia="宋体" w:cs="Times New Roman"/>
                <w:b w:val="0"/>
                <w:bCs w:val="0"/>
                <w:color w:val="auto"/>
                <w:szCs w:val="21"/>
                <w:highlight w:val="none"/>
              </w:rPr>
              <w:t>招聘管理（含微招聘）、人才管理（含人才库管理、人才画像）、绩效考核、职称管理、测评管理、岗位竞聘管理、领导桌面、出国出境管理、证照管理</w:t>
            </w:r>
          </w:p>
        </w:tc>
      </w:tr>
    </w:tbl>
    <w:p>
      <w:pPr>
        <w:spacing w:line="360" w:lineRule="auto"/>
        <w:jc w:val="left"/>
        <w:rPr>
          <w:rFonts w:ascii="Times New Roman" w:hAnsi="Times New Roman" w:eastAsia="宋体" w:cs="Times New Roman"/>
          <w:b w:val="0"/>
          <w:bCs w:val="0"/>
          <w:color w:val="auto"/>
          <w:szCs w:val="24"/>
          <w:highlight w:val="none"/>
        </w:rPr>
      </w:pPr>
    </w:p>
    <w:p>
      <w:pPr>
        <w:keepNext/>
        <w:keepLines/>
        <w:adjustRightInd w:val="0"/>
        <w:spacing w:before="156" w:beforeLines="50" w:after="156" w:afterLines="50" w:line="360" w:lineRule="auto"/>
        <w:textAlignment w:val="baseline"/>
        <w:outlineLvl w:val="0"/>
        <w:rPr>
          <w:rFonts w:ascii="Times New Roman" w:hAnsi="Times New Roman" w:eastAsia="宋体" w:cs="Times New Roman"/>
          <w:b w:val="0"/>
          <w:bCs w:val="0"/>
          <w:color w:val="auto"/>
          <w:kern w:val="44"/>
          <w:sz w:val="32"/>
          <w:szCs w:val="32"/>
          <w:highlight w:val="none"/>
        </w:rPr>
      </w:pPr>
      <w:bookmarkStart w:id="0" w:name="_Toc425514138"/>
      <w:bookmarkStart w:id="1" w:name="_Toc238446467"/>
      <w:r>
        <w:rPr>
          <w:rFonts w:hint="eastAsia" w:ascii="Times New Roman" w:hAnsi="Times New Roman" w:eastAsia="宋体" w:cs="Times New Roman"/>
          <w:b w:val="0"/>
          <w:bCs w:val="0"/>
          <w:color w:val="auto"/>
          <w:kern w:val="44"/>
          <w:sz w:val="32"/>
          <w:szCs w:val="32"/>
          <w:highlight w:val="none"/>
        </w:rPr>
        <w:t>总体要求</w:t>
      </w:r>
      <w:bookmarkEnd w:id="0"/>
      <w:bookmarkEnd w:id="1"/>
    </w:p>
    <w:p>
      <w:pPr>
        <w:keepNext/>
        <w:keepLines/>
        <w:spacing w:line="360" w:lineRule="auto"/>
        <w:outlineLvl w:val="1"/>
        <w:rPr>
          <w:rFonts w:ascii="宋体" w:hAnsi="宋体" w:eastAsia="宋体" w:cs="Times New Roman"/>
          <w:b w:val="0"/>
          <w:bCs w:val="0"/>
          <w:color w:val="auto"/>
          <w:sz w:val="28"/>
          <w:szCs w:val="28"/>
          <w:highlight w:val="none"/>
        </w:rPr>
      </w:pPr>
      <w:bookmarkStart w:id="2" w:name="_Toc425514139"/>
      <w:r>
        <w:rPr>
          <w:rFonts w:hint="eastAsia" w:ascii="宋体" w:hAnsi="宋体" w:eastAsia="宋体" w:cs="Times New Roman"/>
          <w:b w:val="0"/>
          <w:bCs w:val="0"/>
          <w:color w:val="auto"/>
          <w:sz w:val="28"/>
          <w:szCs w:val="28"/>
          <w:highlight w:val="none"/>
        </w:rPr>
        <w:t>1、总体需求</w:t>
      </w:r>
      <w:bookmarkEnd w:id="2"/>
    </w:p>
    <w:p>
      <w:pPr>
        <w:widowControl/>
        <w:snapToGrid w:val="0"/>
        <w:spacing w:line="360" w:lineRule="auto"/>
        <w:ind w:firstLine="420" w:firstLineChars="200"/>
        <w:jc w:val="left"/>
        <w:rPr>
          <w:rFonts w:ascii="宋体" w:hAnsi="宋体" w:eastAsia="宋体" w:cs="Times New Roman"/>
          <w:b w:val="0"/>
          <w:bCs w:val="0"/>
          <w:color w:val="auto"/>
          <w:kern w:val="0"/>
          <w:szCs w:val="21"/>
          <w:highlight w:val="none"/>
        </w:rPr>
      </w:pPr>
      <w:r>
        <w:rPr>
          <w:rFonts w:hint="eastAsia" w:ascii="宋体" w:hAnsi="宋体" w:eastAsia="宋体" w:cs="宋体"/>
          <w:b w:val="0"/>
          <w:bCs w:val="0"/>
          <w:color w:val="auto"/>
          <w:kern w:val="0"/>
          <w:szCs w:val="21"/>
          <w:highlight w:val="none"/>
        </w:rPr>
        <w:t>通过对现有人力资源管理系统进行无缝对接并完成人力资源管理系统（应用拓展）的建设，使人事管理人员进一步提高工作效率，并把先进的人事管理理念和工作实际结合起来，以此落实</w:t>
      </w:r>
      <w:r>
        <w:rPr>
          <w:rFonts w:hint="eastAsia" w:ascii="Times New Roman" w:hAnsi="Times New Roman" w:eastAsia="宋体" w:cs="Times New Roman"/>
          <w:b w:val="0"/>
          <w:bCs w:val="0"/>
          <w:color w:val="auto"/>
          <w:szCs w:val="24"/>
          <w:highlight w:val="none"/>
        </w:rPr>
        <w:t>医院人事管</w:t>
      </w:r>
      <w:r>
        <w:rPr>
          <w:rFonts w:hint="eastAsia" w:ascii="宋体" w:hAnsi="宋体" w:eastAsia="宋体" w:cs="宋体"/>
          <w:b w:val="0"/>
          <w:bCs w:val="0"/>
          <w:color w:val="auto"/>
          <w:kern w:val="0"/>
          <w:szCs w:val="21"/>
          <w:highlight w:val="none"/>
        </w:rPr>
        <w:t>理战略，提高管理精细化水平，提高工作效率，实现人事管理工作的规范化、系统化、流程化，为单位领导提供基于信息的决策支持。</w:t>
      </w:r>
    </w:p>
    <w:p>
      <w:pPr>
        <w:keepNext/>
        <w:keepLines/>
        <w:spacing w:line="360" w:lineRule="auto"/>
        <w:outlineLvl w:val="1"/>
        <w:rPr>
          <w:rFonts w:ascii="宋体" w:hAnsi="宋体" w:eastAsia="宋体" w:cs="Times New Roman"/>
          <w:b w:val="0"/>
          <w:bCs w:val="0"/>
          <w:color w:val="auto"/>
          <w:sz w:val="28"/>
          <w:szCs w:val="28"/>
          <w:highlight w:val="none"/>
        </w:rPr>
      </w:pPr>
      <w:bookmarkStart w:id="3" w:name="_Toc238446469"/>
      <w:bookmarkStart w:id="4" w:name="_Toc425514140"/>
      <w:r>
        <w:rPr>
          <w:rFonts w:hint="eastAsia" w:ascii="宋体" w:hAnsi="宋体" w:eastAsia="宋体" w:cs="Times New Roman"/>
          <w:b w:val="0"/>
          <w:bCs w:val="0"/>
          <w:color w:val="auto"/>
          <w:sz w:val="28"/>
          <w:szCs w:val="28"/>
          <w:highlight w:val="none"/>
        </w:rPr>
        <w:t>2、设计原则</w:t>
      </w:r>
      <w:bookmarkEnd w:id="3"/>
      <w:bookmarkEnd w:id="4"/>
    </w:p>
    <w:p>
      <w:pPr>
        <w:numPr>
          <w:ilvl w:val="0"/>
          <w:numId w:val="1"/>
        </w:numPr>
        <w:snapToGrid w:val="0"/>
        <w:spacing w:line="360" w:lineRule="auto"/>
        <w:rPr>
          <w:rFonts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先进性：采用业界先进技术架构，满足工作需要以及对系统扩展、升级等前瞻性需求。同时系统设计采用人力资源 “三支柱”体系。</w:t>
      </w:r>
    </w:p>
    <w:p>
      <w:pPr>
        <w:numPr>
          <w:ilvl w:val="0"/>
          <w:numId w:val="1"/>
        </w:numPr>
        <w:snapToGrid w:val="0"/>
        <w:spacing w:line="360" w:lineRule="auto"/>
        <w:rPr>
          <w:rFonts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稳定性：在设计方案充分体现技术先进性的同时，需要保证技术的成熟度，确保系统长期稳定运行。</w:t>
      </w:r>
    </w:p>
    <w:p>
      <w:pPr>
        <w:numPr>
          <w:ilvl w:val="0"/>
          <w:numId w:val="1"/>
        </w:numPr>
        <w:snapToGrid w:val="0"/>
        <w:spacing w:line="360" w:lineRule="auto"/>
        <w:rPr>
          <w:rFonts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灵活性：足够的弹性以满足用户需求的变化，设有专家中心统一设置人力资源管理的各类规则。</w:t>
      </w:r>
    </w:p>
    <w:p>
      <w:pPr>
        <w:numPr>
          <w:ilvl w:val="0"/>
          <w:numId w:val="1"/>
        </w:numPr>
        <w:snapToGrid w:val="0"/>
        <w:spacing w:line="360" w:lineRule="auto"/>
        <w:rPr>
          <w:rFonts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易用性：一页式、</w:t>
      </w:r>
      <w:r>
        <w:rPr>
          <w:rFonts w:hint="eastAsia" w:ascii="Times New Roman" w:hAnsi="Times New Roman" w:eastAsia="宋体" w:cs="Times New Roman"/>
          <w:b w:val="0"/>
          <w:bCs w:val="0"/>
          <w:color w:val="auto"/>
          <w:highlight w:val="none"/>
        </w:rPr>
        <w:t>向导式操作，</w:t>
      </w:r>
      <w:r>
        <w:rPr>
          <w:rFonts w:hint="eastAsia" w:ascii="宋体" w:hAnsi="宋体" w:eastAsia="宋体" w:cs="Times New Roman"/>
          <w:b w:val="0"/>
          <w:bCs w:val="0"/>
          <w:color w:val="auto"/>
          <w:szCs w:val="21"/>
          <w:highlight w:val="none"/>
        </w:rPr>
        <w:t>业务场景贯串始终，系统界面友好，操作简便。</w:t>
      </w:r>
    </w:p>
    <w:p>
      <w:pPr>
        <w:numPr>
          <w:ilvl w:val="0"/>
          <w:numId w:val="1"/>
        </w:numPr>
        <w:snapToGrid w:val="0"/>
        <w:spacing w:line="360" w:lineRule="auto"/>
        <w:rPr>
          <w:rFonts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集成性：与其他业务系统实现信息共享使用。</w:t>
      </w:r>
    </w:p>
    <w:p>
      <w:pPr>
        <w:numPr>
          <w:ilvl w:val="0"/>
          <w:numId w:val="1"/>
        </w:numPr>
        <w:snapToGrid w:val="0"/>
        <w:spacing w:line="360" w:lineRule="auto"/>
        <w:rPr>
          <w:rFonts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易维护性：随着系统的投入运行和系统资源的不断增加，</w:t>
      </w:r>
      <w:r>
        <w:rPr>
          <w:rFonts w:ascii="宋体" w:hAnsi="宋体" w:eastAsia="宋体" w:cs="Times New Roman"/>
          <w:b w:val="0"/>
          <w:bCs w:val="0"/>
          <w:color w:val="auto"/>
          <w:szCs w:val="21"/>
          <w:highlight w:val="none"/>
        </w:rPr>
        <w:t>HR</w:t>
      </w:r>
      <w:r>
        <w:rPr>
          <w:rFonts w:hint="eastAsia" w:ascii="宋体" w:hAnsi="宋体" w:eastAsia="宋体" w:cs="Times New Roman"/>
          <w:b w:val="0"/>
          <w:bCs w:val="0"/>
          <w:color w:val="auto"/>
          <w:szCs w:val="21"/>
          <w:highlight w:val="none"/>
        </w:rPr>
        <w:t>系统应具有很好的易维护性，使管理人员易于维护，减少不必要的额外劳动，提高工作效率。</w:t>
      </w:r>
    </w:p>
    <w:p>
      <w:pPr>
        <w:keepNext/>
        <w:keepLines/>
        <w:tabs>
          <w:tab w:val="left" w:pos="851"/>
        </w:tabs>
        <w:spacing w:before="260" w:after="260" w:line="416" w:lineRule="auto"/>
        <w:outlineLvl w:val="1"/>
        <w:rPr>
          <w:rFonts w:ascii="宋体" w:hAnsi="宋体" w:eastAsia="宋体" w:cs="Times New Roman"/>
          <w:b w:val="0"/>
          <w:bCs w:val="0"/>
          <w:color w:val="auto"/>
          <w:sz w:val="32"/>
          <w:szCs w:val="32"/>
          <w:highlight w:val="none"/>
        </w:rPr>
      </w:pPr>
      <w:bookmarkStart w:id="5" w:name="_Toc23899"/>
      <w:r>
        <w:rPr>
          <w:rFonts w:hint="eastAsia" w:ascii="宋体" w:hAnsi="宋体" w:eastAsia="宋体" w:cs="Times New Roman"/>
          <w:b w:val="0"/>
          <w:bCs w:val="0"/>
          <w:color w:val="auto"/>
          <w:sz w:val="32"/>
          <w:szCs w:val="32"/>
          <w:highlight w:val="none"/>
        </w:rPr>
        <w:t>3、功能模块功能需求</w:t>
      </w:r>
    </w:p>
    <w:bookmarkEnd w:id="5"/>
    <w:p>
      <w:pPr>
        <w:keepNext/>
        <w:keepLines/>
        <w:spacing w:line="360" w:lineRule="auto"/>
        <w:ind w:left="420" w:hanging="420"/>
        <w:outlineLvl w:val="3"/>
        <w:rPr>
          <w:rFonts w:ascii="宋体" w:hAnsi="宋体" w:eastAsia="宋体" w:cs="宋体"/>
          <w:b w:val="0"/>
          <w:bCs w:val="0"/>
          <w:color w:val="auto"/>
          <w:sz w:val="24"/>
          <w:szCs w:val="24"/>
          <w:highlight w:val="none"/>
        </w:rPr>
      </w:pPr>
      <w:bookmarkStart w:id="6" w:name="_Toc10185972"/>
      <w:bookmarkStart w:id="7" w:name="_Toc81484712"/>
      <w:r>
        <w:rPr>
          <w:rFonts w:hint="eastAsia" w:ascii="宋体" w:hAnsi="宋体" w:eastAsia="宋体" w:cs="宋体"/>
          <w:b w:val="0"/>
          <w:bCs w:val="0"/>
          <w:color w:val="auto"/>
          <w:sz w:val="24"/>
          <w:szCs w:val="24"/>
          <w:highlight w:val="none"/>
        </w:rPr>
        <w:t>3.1招聘管理</w:t>
      </w:r>
      <w:bookmarkEnd w:id="6"/>
      <w:bookmarkEnd w:id="7"/>
      <w:r>
        <w:rPr>
          <w:rFonts w:hint="eastAsia" w:ascii="宋体" w:hAnsi="宋体" w:eastAsia="宋体" w:cs="宋体"/>
          <w:b w:val="0"/>
          <w:bCs w:val="0"/>
          <w:color w:val="auto"/>
          <w:sz w:val="24"/>
          <w:szCs w:val="24"/>
          <w:highlight w:val="none"/>
        </w:rPr>
        <w:tab/>
      </w:r>
    </w:p>
    <w:p>
      <w:pPr>
        <w:keepNext/>
        <w:keepLines/>
        <w:spacing w:line="360" w:lineRule="auto"/>
        <w:outlineLvl w:val="4"/>
        <w:rPr>
          <w:rFonts w:ascii="宋体" w:hAnsi="宋体" w:eastAsia="宋体" w:cs="宋体"/>
          <w:b w:val="0"/>
          <w:bCs w:val="0"/>
          <w:color w:val="auto"/>
          <w:szCs w:val="21"/>
          <w:highlight w:val="none"/>
        </w:rPr>
      </w:pPr>
      <w:bookmarkStart w:id="8" w:name="_Toc10185973"/>
      <w:r>
        <w:rPr>
          <w:rFonts w:hint="eastAsia" w:ascii="宋体" w:hAnsi="宋体" w:eastAsia="宋体" w:cs="宋体"/>
          <w:b w:val="0"/>
          <w:bCs w:val="0"/>
          <w:color w:val="auto"/>
          <w:szCs w:val="21"/>
          <w:highlight w:val="none"/>
        </w:rPr>
        <w:t>3.1.1招聘官网</w:t>
      </w:r>
      <w:bookmarkEnd w:id="8"/>
    </w:p>
    <w:p>
      <w:pPr>
        <w:numPr>
          <w:ilvl w:val="0"/>
          <w:numId w:val="2"/>
        </w:numPr>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在单位官网上设置招聘外网，可自定义页面风格，可以支持校园招聘、社会招聘、博士后招聘、高层次人才引进、规培生招聘。支持针对不同的招聘方式，能控制不同的招聘要求；能控制不同的简历填写的丰满程度。</w:t>
      </w:r>
    </w:p>
    <w:p>
      <w:pPr>
        <w:numPr>
          <w:ilvl w:val="0"/>
          <w:numId w:val="2"/>
        </w:numPr>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在招聘公告栏、招聘信息发布、应聘者简历注册和简历投递，可支持区分不同的院区、不同的招聘渠道。既可以提供给应聘者总的岗位列表，也可以提供分类的岗位列表。</w:t>
      </w:r>
    </w:p>
    <w:p>
      <w:pPr>
        <w:numPr>
          <w:ilvl w:val="0"/>
          <w:numId w:val="2"/>
        </w:numPr>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可支持应聘者的填报志愿总数，控制应聘者随意应聘不同岗位。</w:t>
      </w:r>
    </w:p>
    <w:p>
      <w:pPr>
        <w:numPr>
          <w:ilvl w:val="0"/>
          <w:numId w:val="2"/>
        </w:numPr>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招聘外网界面风格、简历字段必填以及非必填等都可以自定义，可实现身份证号自动生成性别、年龄、籍贯等信息，也可以实现最高学历自动生成。</w:t>
      </w:r>
    </w:p>
    <w:p>
      <w:pPr>
        <w:numPr>
          <w:ilvl w:val="0"/>
          <w:numId w:val="2"/>
        </w:numPr>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可支持应聘者通过我的应聘中心，实时查阅所处招聘的环节，也可以实现应聘者同医院的互动，直接可以进行是否参加面试（复试）等安排，方便医院招聘专员快速筛选。</w:t>
      </w:r>
    </w:p>
    <w:p>
      <w:pPr>
        <w:keepNext/>
        <w:keepLines/>
        <w:spacing w:line="360" w:lineRule="auto"/>
        <w:outlineLvl w:val="4"/>
        <w:rPr>
          <w:rFonts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3.1.2招聘管理</w:t>
      </w:r>
    </w:p>
    <w:p>
      <w:pPr>
        <w:numPr>
          <w:ilvl w:val="0"/>
          <w:numId w:val="3"/>
        </w:numPr>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系统提供向导式界面，涵盖招聘批次、招聘需求、简历采集、简历管理、拟录用、招聘报表等业务。</w:t>
      </w:r>
    </w:p>
    <w:p>
      <w:pPr>
        <w:numPr>
          <w:ilvl w:val="0"/>
          <w:numId w:val="3"/>
        </w:numPr>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提供招聘需求的申请、审批、发布流程。支持二级部门提招聘需求，通过审批流程审批通过，再由人事部门汇总发布;也可以单独由人事部门直接发布。</w:t>
      </w:r>
    </w:p>
    <w:p>
      <w:pPr>
        <w:numPr>
          <w:ilvl w:val="0"/>
          <w:numId w:val="3"/>
        </w:numPr>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招聘需求采集，招聘计划及招聘信息发布，简历在线填录，简历过滤、浏览、打印。</w:t>
      </w:r>
    </w:p>
    <w:p>
      <w:pPr>
        <w:numPr>
          <w:ilvl w:val="0"/>
          <w:numId w:val="3"/>
        </w:numPr>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支持自定义医院的招聘流程节点，每个节点可以自定义控制的字段。</w:t>
      </w:r>
    </w:p>
    <w:p>
      <w:pPr>
        <w:numPr>
          <w:ilvl w:val="0"/>
          <w:numId w:val="3"/>
        </w:numPr>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应聘者的信息可根据医院需求灵活自定义简历、院长面试表、应聘人员评分表等。</w:t>
      </w:r>
    </w:p>
    <w:p>
      <w:pPr>
        <w:numPr>
          <w:ilvl w:val="0"/>
          <w:numId w:val="3"/>
        </w:numPr>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应聘人员通过外网可以在线投递简历，申请职位，能够实现单位人才库管理。</w:t>
      </w:r>
    </w:p>
    <w:p>
      <w:pPr>
        <w:numPr>
          <w:ilvl w:val="0"/>
          <w:numId w:val="3"/>
        </w:numPr>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提供简历筛选功能，能够进行人岗自动匹配，方便人才筛选</w:t>
      </w:r>
    </w:p>
    <w:p>
      <w:pPr>
        <w:numPr>
          <w:ilvl w:val="0"/>
          <w:numId w:val="3"/>
        </w:numPr>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提供在线查看、导出应聘者的简历信息。</w:t>
      </w:r>
    </w:p>
    <w:p>
      <w:pPr>
        <w:numPr>
          <w:ilvl w:val="0"/>
          <w:numId w:val="3"/>
        </w:numPr>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支持随时查看各个岗位的招聘进度。</w:t>
      </w:r>
    </w:p>
    <w:p>
      <w:pPr>
        <w:numPr>
          <w:ilvl w:val="0"/>
          <w:numId w:val="3"/>
        </w:numPr>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在招聘管理模块，在进入模块首页时提供招聘管理运营窗口，招聘管理运营窗口一是提供医院招聘政策查看、功能导航图、管理范围内的消息通知及代办、流程审批等功能全景；二是提供对于自己管理范围内的招聘运营分析图，用于了解当前的招聘管理现状。</w:t>
      </w:r>
    </w:p>
    <w:p>
      <w:pPr>
        <w:keepNext/>
        <w:keepLines/>
        <w:spacing w:line="360" w:lineRule="auto"/>
        <w:outlineLvl w:val="4"/>
        <w:rPr>
          <w:rFonts w:ascii="宋体" w:hAnsi="宋体" w:eastAsia="宋体" w:cs="宋体"/>
          <w:b w:val="0"/>
          <w:bCs w:val="0"/>
          <w:color w:val="auto"/>
          <w:szCs w:val="21"/>
          <w:highlight w:val="none"/>
        </w:rPr>
      </w:pPr>
      <w:bookmarkStart w:id="9" w:name="_Toc10185975"/>
      <w:r>
        <w:rPr>
          <w:rFonts w:hint="eastAsia" w:ascii="宋体" w:hAnsi="宋体" w:eastAsia="宋体" w:cs="宋体"/>
          <w:b w:val="0"/>
          <w:bCs w:val="0"/>
          <w:color w:val="auto"/>
          <w:szCs w:val="21"/>
          <w:highlight w:val="none"/>
        </w:rPr>
        <w:t>3.1.3微招聘</w:t>
      </w:r>
      <w:bookmarkEnd w:id="9"/>
    </w:p>
    <w:p>
      <w:pPr>
        <w:numPr>
          <w:ilvl w:val="0"/>
          <w:numId w:val="4"/>
        </w:numPr>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支持微招聘，通过单位的微信服务号发布招聘信息，简历填写、投递岗位等完成招聘的整个流程，同时也与PC端信息同步。</w:t>
      </w:r>
    </w:p>
    <w:p>
      <w:pPr>
        <w:numPr>
          <w:ilvl w:val="0"/>
          <w:numId w:val="4"/>
        </w:numPr>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微信互动平台：应聘者科查看投递状态、面试通知、信息查询以及推荐岗位等。</w:t>
      </w:r>
    </w:p>
    <w:p>
      <w:pPr>
        <w:numPr>
          <w:ilvl w:val="0"/>
          <w:numId w:val="4"/>
        </w:numPr>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简历信息能与HR系统无缝对接、减少人事部门的简历重复录入工作、提高人事部门的工作效率.</w:t>
      </w:r>
    </w:p>
    <w:p>
      <w:pPr>
        <w:keepNext/>
        <w:keepLines/>
        <w:spacing w:line="360" w:lineRule="auto"/>
        <w:ind w:left="420" w:hanging="420"/>
        <w:outlineLvl w:val="3"/>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3.2人才管理</w:t>
      </w:r>
      <w:r>
        <w:rPr>
          <w:rFonts w:hint="eastAsia" w:ascii="宋体" w:hAnsi="宋体" w:eastAsia="宋体" w:cs="宋体"/>
          <w:b w:val="0"/>
          <w:bCs w:val="0"/>
          <w:color w:val="auto"/>
          <w:sz w:val="24"/>
          <w:szCs w:val="24"/>
          <w:highlight w:val="none"/>
        </w:rPr>
        <w:tab/>
      </w:r>
    </w:p>
    <w:p>
      <w:pPr>
        <w:keepNext/>
        <w:keepLines/>
        <w:spacing w:line="360" w:lineRule="auto"/>
        <w:outlineLvl w:val="4"/>
        <w:rPr>
          <w:rFonts w:ascii="Times New Roman" w:hAnsi="Times New Roman" w:eastAsia="宋体" w:cs="Times New Roman"/>
          <w:b w:val="0"/>
          <w:bCs w:val="0"/>
          <w:color w:val="auto"/>
          <w:szCs w:val="24"/>
          <w:highlight w:val="none"/>
        </w:rPr>
      </w:pPr>
      <w:r>
        <w:rPr>
          <w:rFonts w:hint="eastAsia" w:ascii="宋体" w:hAnsi="宋体" w:eastAsia="宋体" w:cs="宋体"/>
          <w:b w:val="0"/>
          <w:bCs w:val="0"/>
          <w:color w:val="auto"/>
          <w:szCs w:val="21"/>
          <w:highlight w:val="none"/>
        </w:rPr>
        <w:t>3.2.1 人才库管理</w:t>
      </w:r>
    </w:p>
    <w:p>
      <w:pPr>
        <w:numPr>
          <w:ilvl w:val="0"/>
          <w:numId w:val="5"/>
        </w:numPr>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提供人才库管理专家中心，可根据用户需求灵活配置系统功能，如果需求发生变更，业务管理人员可以根据新需求对系统配置做相应的调整。</w:t>
      </w:r>
    </w:p>
    <w:p>
      <w:pPr>
        <w:numPr>
          <w:ilvl w:val="0"/>
          <w:numId w:val="5"/>
        </w:numPr>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系统提供人才档案信息、人才入库、人才出库、查询统计、花名册、人才比对等功能，实现高端人才从入库到出库的全生命周期管理，综合管理人才的各类信息。</w:t>
      </w:r>
    </w:p>
    <w:p>
      <w:pPr>
        <w:numPr>
          <w:ilvl w:val="0"/>
          <w:numId w:val="5"/>
        </w:numPr>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支持建立高端人才库，实现对高端人才、储备人才的分层分类管理，随时了解最新的高端人才信息。</w:t>
      </w:r>
    </w:p>
    <w:p>
      <w:pPr>
        <w:numPr>
          <w:ilvl w:val="0"/>
          <w:numId w:val="5"/>
        </w:numPr>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系统能够与医院的人员管理系统在职人员库无缝对接，自动将符合相关条件的高端人才定时同步至高端人才库和储备人才库中。</w:t>
      </w:r>
    </w:p>
    <w:p>
      <w:pPr>
        <w:numPr>
          <w:ilvl w:val="0"/>
          <w:numId w:val="5"/>
        </w:numPr>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支持人才入库和出库操作，提供筛选、搜索功能，能够快速将相关人才加入/移出人才库，建立高端人才“进与出”动态管理机制。</w:t>
      </w:r>
    </w:p>
    <w:p>
      <w:pPr>
        <w:numPr>
          <w:ilvl w:val="0"/>
          <w:numId w:val="5"/>
        </w:numPr>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)系统支持一员式全方位展示医院高端人才的个人档案数据。</w:t>
      </w:r>
    </w:p>
    <w:p>
      <w:pPr>
        <w:numPr>
          <w:ilvl w:val="0"/>
          <w:numId w:val="5"/>
        </w:numPr>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支持在高端人才库/储备人才库中直接勾选高端人才进行人员比对。</w:t>
      </w:r>
    </w:p>
    <w:p>
      <w:pPr>
        <w:numPr>
          <w:ilvl w:val="0"/>
          <w:numId w:val="5"/>
        </w:numPr>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支持高端人才库/储备人才库中一键快速查看高端人才的个体人才画像。</w:t>
      </w:r>
    </w:p>
    <w:p>
      <w:pPr>
        <w:numPr>
          <w:ilvl w:val="0"/>
          <w:numId w:val="5"/>
        </w:numPr>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支持内部人才管理和外部人才管理，储备人才库中，支持Excel模板批量导入外部人才的信息，快速将外部人才加入储备人才库中统一管理。</w:t>
      </w:r>
    </w:p>
    <w:p>
      <w:pPr>
        <w:numPr>
          <w:ilvl w:val="0"/>
          <w:numId w:val="5"/>
        </w:numPr>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支持对高端人才队伍情况的统计分析，能够自定义统计条件，自动生成直观的统计分析图，方便管理者从人才总数、平均年龄、男女性别比例、工龄、干部比例等方面概要了解医院高端人才现状，并且能够穿透到具体数据，为决策提供依据。</w:t>
      </w:r>
    </w:p>
    <w:p>
      <w:pPr>
        <w:numPr>
          <w:ilvl w:val="0"/>
          <w:numId w:val="5"/>
        </w:numPr>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系统支持快速生成高端人才花名册，用户能够根据管理需要灵活自定义花名册，花名册表头名称、内容均可修改，实现花名册快速生成，并可导出Excel格式文件。</w:t>
      </w:r>
    </w:p>
    <w:p>
      <w:pPr>
        <w:numPr>
          <w:ilvl w:val="0"/>
          <w:numId w:val="5"/>
        </w:numPr>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系统提供出库人才导出、人才返库、人才返库申请与审批等功能，实现出库人才的统一管理和维护。</w:t>
      </w:r>
    </w:p>
    <w:p>
      <w:pPr>
        <w:numPr>
          <w:ilvl w:val="0"/>
          <w:numId w:val="5"/>
        </w:numPr>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)支持自定义筛选条件，如人才库类型、性别、年龄、学历等进行人才筛选，支持组合标签筛选，能够一键导出出库人才清单。</w:t>
      </w:r>
    </w:p>
    <w:p>
      <w:pPr>
        <w:numPr>
          <w:ilvl w:val="0"/>
          <w:numId w:val="5"/>
        </w:numPr>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自定义人才反库的审批流程，实现人才返库在线申请与审批，实现高端人才返库的有效管控，避免随意性。</w:t>
      </w:r>
    </w:p>
    <w:p>
      <w:pPr>
        <w:numPr>
          <w:ilvl w:val="0"/>
          <w:numId w:val="5"/>
        </w:numPr>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系统提供审批节点查询功能，实现每一个入库人才和出库人才的每一次流转都有记录可查，有数据可依。</w:t>
      </w:r>
    </w:p>
    <w:p>
      <w:pPr>
        <w:numPr>
          <w:ilvl w:val="0"/>
          <w:numId w:val="5"/>
        </w:numPr>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系统支持根据医院管理需求实际，于系统中内置年龄、性别、学历、职称、技能等常用筛选条件；也支持用户灵活定义筛选条件，如人才库类型、性别、年龄、学历等进行人才筛选，支持组合标签筛选；在筛选人才通过系统标记的标签，实现快速筛选符合某一条件或标准的人选。</w:t>
      </w:r>
    </w:p>
    <w:p>
      <w:pPr>
        <w:numPr>
          <w:ilvl w:val="0"/>
          <w:numId w:val="5"/>
        </w:numPr>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系统能实现多维度“一页式”展现个体人才画像，对高端人才发展情况一目了然，人才画像数据信息实时更新。</w:t>
      </w:r>
    </w:p>
    <w:p>
      <w:pPr>
        <w:numPr>
          <w:ilvl w:val="0"/>
          <w:numId w:val="5"/>
        </w:numPr>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系统提供人才画像比对PK功能，可以指定任意人才从不同维度进行对比PK；通过显著性规则，可以区别不同人才的差异，可高亮不同项，隐藏相同项，进而突出差异值。</w:t>
      </w:r>
    </w:p>
    <w:p>
      <w:pPr>
        <w:numPr>
          <w:ilvl w:val="0"/>
          <w:numId w:val="5"/>
        </w:numPr>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系统提供两种创建团队方式：可以通过系统单位筛选确定成员；可以通过自由检索确定成员。</w:t>
      </w:r>
    </w:p>
    <w:p>
      <w:pPr>
        <w:numPr>
          <w:ilvl w:val="0"/>
          <w:numId w:val="5"/>
        </w:numPr>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系统支持灵活定义团队画像维度。</w:t>
      </w:r>
    </w:p>
    <w:p>
      <w:pPr>
        <w:numPr>
          <w:ilvl w:val="0"/>
          <w:numId w:val="5"/>
        </w:numPr>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提供团队画像归档功能，沉淀相关团队画像记录。</w:t>
      </w:r>
    </w:p>
    <w:p>
      <w:pPr>
        <w:numPr>
          <w:ilvl w:val="0"/>
          <w:numId w:val="5"/>
        </w:numPr>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系统提供基于人才发展的可视化分析研判大屏，实现人才动态管理，展现某一部门、团队、群体的状况、动态、趋势等。</w:t>
      </w:r>
    </w:p>
    <w:p>
      <w:pPr>
        <w:keepNext/>
        <w:keepLines/>
        <w:spacing w:line="360" w:lineRule="auto"/>
        <w:outlineLvl w:val="4"/>
        <w:rPr>
          <w:rFonts w:ascii="Times New Roman" w:hAnsi="Times New Roman" w:eastAsia="宋体" w:cs="Times New Roman"/>
          <w:b w:val="0"/>
          <w:bCs w:val="0"/>
          <w:color w:val="auto"/>
          <w:szCs w:val="24"/>
          <w:highlight w:val="none"/>
        </w:rPr>
      </w:pPr>
      <w:r>
        <w:rPr>
          <w:rFonts w:hint="eastAsia" w:ascii="宋体" w:hAnsi="宋体" w:eastAsia="宋体" w:cs="宋体"/>
          <w:b w:val="0"/>
          <w:bCs w:val="0"/>
          <w:color w:val="auto"/>
          <w:szCs w:val="21"/>
          <w:highlight w:val="none"/>
        </w:rPr>
        <w:t>3.2.2 人才画像</w:t>
      </w:r>
    </w:p>
    <w:p>
      <w:pPr>
        <w:numPr>
          <w:ilvl w:val="0"/>
          <w:numId w:val="6"/>
        </w:numPr>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个体画像：通过员工档案中的工作履历、教育背景、医疗业务、科研工作、医德医风、年度考核等多维度的进行数据分析，生出个体的人才画像，为后续的内部员工选拔、培训、发展、薪酬、淘汰等提供数据驱动的决策依据。</w:t>
      </w:r>
    </w:p>
    <w:p>
      <w:pPr>
        <w:numPr>
          <w:ilvl w:val="0"/>
          <w:numId w:val="6"/>
        </w:numPr>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人才PK：可以指定任意人才从不同维度进行对比PK；通过显著性规则，可以区别不同人才的差异，可高亮不同项，隐藏相同项，进而突出差异值。</w:t>
      </w:r>
    </w:p>
    <w:p>
      <w:pPr>
        <w:numPr>
          <w:ilvl w:val="0"/>
          <w:numId w:val="6"/>
        </w:numPr>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人才盘点：建立医院各类人才库，简单、快捷、准确分析人才，全面掌握医院人才动态管理。展示图表和维度能够通过系统自定义生成。分析图表可以通过不同的机构序列进行展示，从行政机构、考勤架构、党团机构等多维度对数据进行分析。</w:t>
      </w:r>
    </w:p>
    <w:p>
      <w:pPr>
        <w:numPr>
          <w:ilvl w:val="0"/>
          <w:numId w:val="6"/>
        </w:numPr>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人才展示：在线自定义总览人员总量、人员流入、流出分析、薪酬总额监控、人才分布、干部人员的结构化分析等数据。可从科室、党支部、院区等维度分析数据，展现人才画像，方便分析研判。系统可基于医院的多重组织架构进行人事数据自动分析，通过点击机构图中的不同机构了解该机构的的人员类型分布数据、异动情况分布以及在岗状态数据分析等内容。</w:t>
      </w:r>
    </w:p>
    <w:p>
      <w:pPr>
        <w:keepNext/>
        <w:keepLines/>
        <w:spacing w:line="360" w:lineRule="auto"/>
        <w:ind w:left="420" w:hanging="420"/>
        <w:outlineLvl w:val="3"/>
        <w:rPr>
          <w:rFonts w:ascii="等线 Light" w:hAnsi="等线 Light" w:eastAsia="等线 Light" w:cs="Times New Roman"/>
          <w:b w:val="0"/>
          <w:bCs w:val="0"/>
          <w:color w:val="auto"/>
          <w:sz w:val="24"/>
          <w:szCs w:val="24"/>
          <w:highlight w:val="none"/>
        </w:rPr>
      </w:pPr>
      <w:r>
        <w:rPr>
          <w:rFonts w:hint="eastAsia" w:ascii="等线 Light" w:hAnsi="等线 Light" w:eastAsia="等线 Light" w:cs="Times New Roman"/>
          <w:b w:val="0"/>
          <w:bCs w:val="0"/>
          <w:color w:val="auto"/>
          <w:sz w:val="24"/>
          <w:szCs w:val="24"/>
          <w:highlight w:val="none"/>
        </w:rPr>
        <w:t>3.3</w:t>
      </w:r>
      <w:r>
        <w:rPr>
          <w:rFonts w:ascii="等线 Light" w:hAnsi="等线 Light" w:eastAsia="等线 Light" w:cs="Times New Roman"/>
          <w:b w:val="0"/>
          <w:bCs w:val="0"/>
          <w:color w:val="auto"/>
          <w:sz w:val="24"/>
          <w:szCs w:val="24"/>
          <w:highlight w:val="none"/>
        </w:rPr>
        <w:t>.</w:t>
      </w:r>
      <w:r>
        <w:rPr>
          <w:rFonts w:hint="eastAsia" w:ascii="等线 Light" w:hAnsi="等线 Light" w:eastAsia="等线 Light" w:cs="Times New Roman"/>
          <w:b w:val="0"/>
          <w:bCs w:val="0"/>
          <w:color w:val="auto"/>
          <w:sz w:val="24"/>
          <w:szCs w:val="24"/>
          <w:highlight w:val="none"/>
        </w:rPr>
        <w:t>绩效考核</w:t>
      </w:r>
    </w:p>
    <w:p>
      <w:pPr>
        <w:numPr>
          <w:ilvl w:val="0"/>
          <w:numId w:val="7"/>
        </w:numPr>
        <w:spacing w:line="360" w:lineRule="auto"/>
        <w:rPr>
          <w:rFonts w:ascii="宋体" w:hAnsi="宋体" w:eastAsia="宋体" w:cs="Times New Roman"/>
          <w:b w:val="0"/>
          <w:bCs w:val="0"/>
          <w:color w:val="auto"/>
          <w:szCs w:val="24"/>
          <w:highlight w:val="none"/>
        </w:rPr>
      </w:pPr>
      <w:r>
        <w:rPr>
          <w:rFonts w:hint="eastAsia" w:ascii="宋体" w:hAnsi="宋体" w:eastAsia="宋体" w:cs="Times New Roman"/>
          <w:b w:val="0"/>
          <w:bCs w:val="0"/>
          <w:color w:val="auto"/>
          <w:szCs w:val="24"/>
          <w:highlight w:val="none"/>
        </w:rPr>
        <w:t>支持360考核、MBO、KPI、BSC多种考核方式。</w:t>
      </w:r>
    </w:p>
    <w:p>
      <w:pPr>
        <w:numPr>
          <w:ilvl w:val="0"/>
          <w:numId w:val="7"/>
        </w:numPr>
        <w:spacing w:line="360" w:lineRule="auto"/>
        <w:rPr>
          <w:rFonts w:ascii="宋体" w:hAnsi="宋体" w:eastAsia="宋体" w:cs="Times New Roman"/>
          <w:b w:val="0"/>
          <w:bCs w:val="0"/>
          <w:color w:val="auto"/>
          <w:szCs w:val="24"/>
          <w:highlight w:val="none"/>
        </w:rPr>
      </w:pPr>
      <w:r>
        <w:rPr>
          <w:rFonts w:hint="eastAsia" w:ascii="宋体" w:hAnsi="宋体" w:eastAsia="宋体" w:cs="Times New Roman"/>
          <w:b w:val="0"/>
          <w:bCs w:val="0"/>
          <w:color w:val="auto"/>
          <w:szCs w:val="24"/>
          <w:highlight w:val="none"/>
        </w:rPr>
        <w:t>支持职工考核、部门考核和单位考核。</w:t>
      </w:r>
    </w:p>
    <w:p>
      <w:pPr>
        <w:numPr>
          <w:ilvl w:val="0"/>
          <w:numId w:val="7"/>
        </w:numPr>
        <w:spacing w:line="360" w:lineRule="auto"/>
        <w:rPr>
          <w:rFonts w:ascii="宋体" w:hAnsi="宋体" w:eastAsia="宋体" w:cs="Times New Roman"/>
          <w:b w:val="0"/>
          <w:bCs w:val="0"/>
          <w:color w:val="auto"/>
          <w:szCs w:val="24"/>
          <w:highlight w:val="none"/>
        </w:rPr>
      </w:pPr>
      <w:r>
        <w:rPr>
          <w:rFonts w:hint="eastAsia" w:ascii="宋体" w:hAnsi="宋体" w:eastAsia="宋体" w:cs="Times New Roman"/>
          <w:b w:val="0"/>
          <w:bCs w:val="0"/>
          <w:color w:val="auto"/>
          <w:szCs w:val="24"/>
          <w:highlight w:val="none"/>
        </w:rPr>
        <w:t>根据用户需求自行设计多级指标的考核量表。</w:t>
      </w:r>
    </w:p>
    <w:p>
      <w:pPr>
        <w:numPr>
          <w:ilvl w:val="0"/>
          <w:numId w:val="7"/>
        </w:numPr>
        <w:spacing w:line="360" w:lineRule="auto"/>
        <w:rPr>
          <w:rFonts w:ascii="宋体" w:hAnsi="宋体" w:eastAsia="宋体" w:cs="Times New Roman"/>
          <w:b w:val="0"/>
          <w:bCs w:val="0"/>
          <w:color w:val="auto"/>
          <w:szCs w:val="24"/>
          <w:highlight w:val="none"/>
        </w:rPr>
      </w:pPr>
      <w:r>
        <w:rPr>
          <w:rFonts w:hint="eastAsia" w:ascii="宋体" w:hAnsi="宋体" w:eastAsia="宋体" w:cs="Times New Roman"/>
          <w:b w:val="0"/>
          <w:bCs w:val="0"/>
          <w:color w:val="auto"/>
          <w:szCs w:val="24"/>
          <w:highlight w:val="none"/>
        </w:rPr>
        <w:t>支持网上自助、移动端等评价方式，同时还能够将其他业务系统中的数据批量导入。</w:t>
      </w:r>
    </w:p>
    <w:p>
      <w:pPr>
        <w:numPr>
          <w:ilvl w:val="0"/>
          <w:numId w:val="7"/>
        </w:numPr>
        <w:spacing w:line="360" w:lineRule="auto"/>
        <w:rPr>
          <w:rFonts w:ascii="宋体" w:hAnsi="宋体" w:eastAsia="宋体" w:cs="Times New Roman"/>
          <w:b w:val="0"/>
          <w:bCs w:val="0"/>
          <w:color w:val="auto"/>
          <w:szCs w:val="24"/>
          <w:highlight w:val="none"/>
        </w:rPr>
      </w:pPr>
      <w:r>
        <w:rPr>
          <w:rFonts w:hint="eastAsia" w:ascii="宋体" w:hAnsi="宋体" w:eastAsia="宋体" w:cs="Times New Roman"/>
          <w:b w:val="0"/>
          <w:bCs w:val="0"/>
          <w:color w:val="auto"/>
          <w:szCs w:val="24"/>
          <w:highlight w:val="none"/>
        </w:rPr>
        <w:t>支持灵活设置考核主体，适应项目制和矩阵式考核环境。</w:t>
      </w:r>
    </w:p>
    <w:p>
      <w:pPr>
        <w:numPr>
          <w:ilvl w:val="0"/>
          <w:numId w:val="7"/>
        </w:numPr>
        <w:spacing w:line="360" w:lineRule="auto"/>
        <w:rPr>
          <w:rFonts w:ascii="宋体" w:hAnsi="宋体" w:eastAsia="宋体" w:cs="Times New Roman"/>
          <w:b w:val="0"/>
          <w:bCs w:val="0"/>
          <w:color w:val="auto"/>
          <w:szCs w:val="24"/>
          <w:highlight w:val="none"/>
        </w:rPr>
      </w:pPr>
      <w:r>
        <w:rPr>
          <w:rFonts w:hint="eastAsia" w:ascii="宋体" w:hAnsi="宋体" w:eastAsia="宋体" w:cs="Times New Roman"/>
          <w:b w:val="0"/>
          <w:bCs w:val="0"/>
          <w:color w:val="auto"/>
          <w:szCs w:val="24"/>
          <w:highlight w:val="none"/>
        </w:rPr>
        <w:t>提供了考核打分参数控制，以避免了“老好人”、“泄私愤”和不负责任等现象。</w:t>
      </w:r>
    </w:p>
    <w:p>
      <w:pPr>
        <w:numPr>
          <w:ilvl w:val="0"/>
          <w:numId w:val="7"/>
        </w:numPr>
        <w:spacing w:line="360" w:lineRule="auto"/>
        <w:rPr>
          <w:rFonts w:ascii="宋体" w:hAnsi="宋体" w:eastAsia="宋体" w:cs="Times New Roman"/>
          <w:b w:val="0"/>
          <w:bCs w:val="0"/>
          <w:color w:val="auto"/>
          <w:szCs w:val="24"/>
          <w:highlight w:val="none"/>
        </w:rPr>
      </w:pPr>
      <w:r>
        <w:rPr>
          <w:rFonts w:hint="eastAsia" w:ascii="宋体" w:hAnsi="宋体" w:eastAsia="宋体" w:cs="Times New Roman"/>
          <w:b w:val="0"/>
          <w:bCs w:val="0"/>
          <w:color w:val="auto"/>
          <w:szCs w:val="24"/>
          <w:highlight w:val="none"/>
        </w:rPr>
        <w:t>支持年度考核与平时考核相关联计算和个人考核与部门考核关联计算。</w:t>
      </w:r>
    </w:p>
    <w:p>
      <w:pPr>
        <w:numPr>
          <w:ilvl w:val="0"/>
          <w:numId w:val="7"/>
        </w:numPr>
        <w:spacing w:line="360" w:lineRule="auto"/>
        <w:rPr>
          <w:rFonts w:ascii="宋体" w:hAnsi="宋体" w:eastAsia="宋体" w:cs="Times New Roman"/>
          <w:b w:val="0"/>
          <w:bCs w:val="0"/>
          <w:color w:val="auto"/>
          <w:szCs w:val="24"/>
          <w:highlight w:val="none"/>
        </w:rPr>
      </w:pPr>
      <w:r>
        <w:rPr>
          <w:rFonts w:hint="eastAsia" w:ascii="宋体" w:hAnsi="宋体" w:eastAsia="宋体" w:cs="Times New Roman"/>
          <w:b w:val="0"/>
          <w:bCs w:val="0"/>
          <w:color w:val="auto"/>
          <w:szCs w:val="24"/>
          <w:highlight w:val="none"/>
        </w:rPr>
        <w:t>支持通过PC端和移动端进行线上评分，评价人可采用手机及其他移动设备扫描二维码进行投票。</w:t>
      </w:r>
    </w:p>
    <w:p>
      <w:pPr>
        <w:numPr>
          <w:ilvl w:val="0"/>
          <w:numId w:val="7"/>
        </w:numPr>
        <w:spacing w:line="360" w:lineRule="auto"/>
        <w:rPr>
          <w:rFonts w:ascii="宋体" w:hAnsi="宋体" w:eastAsia="宋体" w:cs="Times New Roman"/>
          <w:b w:val="0"/>
          <w:bCs w:val="0"/>
          <w:color w:val="auto"/>
          <w:szCs w:val="24"/>
          <w:highlight w:val="none"/>
        </w:rPr>
      </w:pPr>
      <w:r>
        <w:rPr>
          <w:rFonts w:hint="eastAsia" w:ascii="宋体" w:hAnsi="宋体" w:eastAsia="宋体" w:cs="Times New Roman"/>
          <w:b w:val="0"/>
          <w:bCs w:val="0"/>
          <w:color w:val="auto"/>
          <w:szCs w:val="24"/>
          <w:highlight w:val="none"/>
        </w:rPr>
        <w:t>支持分值划分法、强近分布法等多种考核等级划分规则。</w:t>
      </w:r>
    </w:p>
    <w:p>
      <w:pPr>
        <w:numPr>
          <w:ilvl w:val="0"/>
          <w:numId w:val="7"/>
        </w:numPr>
        <w:spacing w:line="360" w:lineRule="auto"/>
        <w:rPr>
          <w:rFonts w:ascii="宋体" w:hAnsi="宋体" w:eastAsia="宋体" w:cs="Times New Roman"/>
          <w:b w:val="0"/>
          <w:bCs w:val="0"/>
          <w:color w:val="auto"/>
          <w:szCs w:val="24"/>
          <w:highlight w:val="none"/>
        </w:rPr>
      </w:pPr>
      <w:r>
        <w:rPr>
          <w:rFonts w:hint="eastAsia" w:ascii="宋体" w:hAnsi="宋体" w:eastAsia="宋体" w:cs="Times New Roman"/>
          <w:b w:val="0"/>
          <w:bCs w:val="0"/>
          <w:color w:val="auto"/>
          <w:szCs w:val="24"/>
          <w:highlight w:val="none"/>
        </w:rPr>
        <w:t>支持通过后台随时监控考核进度，全面掌握全院各科室绩效考核进度，进度拖延一键催办。</w:t>
      </w:r>
    </w:p>
    <w:p>
      <w:pPr>
        <w:numPr>
          <w:ilvl w:val="0"/>
          <w:numId w:val="7"/>
        </w:numPr>
        <w:spacing w:line="360" w:lineRule="auto"/>
        <w:rPr>
          <w:rFonts w:ascii="宋体" w:hAnsi="宋体" w:eastAsia="宋体" w:cs="Times New Roman"/>
          <w:b w:val="0"/>
          <w:bCs w:val="0"/>
          <w:color w:val="auto"/>
          <w:szCs w:val="24"/>
          <w:highlight w:val="none"/>
        </w:rPr>
      </w:pPr>
      <w:r>
        <w:rPr>
          <w:rFonts w:hint="eastAsia" w:ascii="宋体" w:hAnsi="宋体" w:eastAsia="宋体" w:cs="Times New Roman"/>
          <w:b w:val="0"/>
          <w:bCs w:val="0"/>
          <w:color w:val="auto"/>
          <w:szCs w:val="24"/>
          <w:highlight w:val="none"/>
        </w:rPr>
        <w:t>通过强大的绩效考核分析功能，发现工作中的问题和不足，增加自我认识，促进自我发展。</w:t>
      </w:r>
    </w:p>
    <w:p>
      <w:pPr>
        <w:numPr>
          <w:ilvl w:val="0"/>
          <w:numId w:val="7"/>
        </w:numPr>
        <w:spacing w:line="360" w:lineRule="auto"/>
        <w:rPr>
          <w:rFonts w:ascii="宋体" w:hAnsi="宋体" w:eastAsia="宋体" w:cs="Times New Roman"/>
          <w:b w:val="0"/>
          <w:bCs w:val="0"/>
          <w:color w:val="auto"/>
          <w:szCs w:val="24"/>
          <w:highlight w:val="none"/>
        </w:rPr>
      </w:pPr>
      <w:r>
        <w:rPr>
          <w:rFonts w:hint="eastAsia" w:ascii="宋体" w:hAnsi="宋体" w:eastAsia="宋体" w:cs="Times New Roman"/>
          <w:b w:val="0"/>
          <w:bCs w:val="0"/>
          <w:color w:val="auto"/>
          <w:szCs w:val="24"/>
          <w:highlight w:val="none"/>
        </w:rPr>
        <w:t>职工可以在线进行绩效结果确认，支持网上反馈和申诉，可以自动生成考核评语。</w:t>
      </w:r>
    </w:p>
    <w:p>
      <w:pPr>
        <w:numPr>
          <w:ilvl w:val="0"/>
          <w:numId w:val="7"/>
        </w:numPr>
        <w:spacing w:line="360" w:lineRule="auto"/>
        <w:rPr>
          <w:rFonts w:ascii="宋体" w:hAnsi="宋体" w:eastAsia="宋体" w:cs="Times New Roman"/>
          <w:b w:val="0"/>
          <w:bCs w:val="0"/>
          <w:color w:val="auto"/>
          <w:szCs w:val="24"/>
          <w:highlight w:val="none"/>
        </w:rPr>
      </w:pPr>
      <w:r>
        <w:rPr>
          <w:rFonts w:hint="eastAsia" w:ascii="宋体" w:hAnsi="宋体" w:eastAsia="宋体" w:cs="Times New Roman"/>
          <w:b w:val="0"/>
          <w:bCs w:val="0"/>
          <w:color w:val="auto"/>
          <w:szCs w:val="24"/>
          <w:highlight w:val="none"/>
        </w:rPr>
        <w:t>系统与医院HIS系统、LIS系统、OA系统、财务系统、科研系统等系统进行无缝对接，自动提取医院绩效考核指标计算所需的各项数据。</w:t>
      </w:r>
    </w:p>
    <w:p>
      <w:pPr>
        <w:numPr>
          <w:ilvl w:val="0"/>
          <w:numId w:val="7"/>
        </w:numPr>
        <w:spacing w:line="360" w:lineRule="auto"/>
        <w:rPr>
          <w:rFonts w:ascii="Times New Roman" w:hAnsi="Times New Roman" w:eastAsia="宋体" w:cs="Times New Roman"/>
          <w:b w:val="0"/>
          <w:bCs w:val="0"/>
          <w:color w:val="auto"/>
          <w:szCs w:val="24"/>
          <w:highlight w:val="none"/>
        </w:rPr>
      </w:pPr>
      <w:r>
        <w:rPr>
          <w:rFonts w:hint="eastAsia" w:ascii="宋体" w:hAnsi="宋体" w:eastAsia="宋体" w:cs="Times New Roman"/>
          <w:b w:val="0"/>
          <w:bCs w:val="0"/>
          <w:color w:val="auto"/>
          <w:szCs w:val="24"/>
          <w:highlight w:val="none"/>
        </w:rPr>
        <w:t>支持一键发送结果供职工确认，绩效结果确认后还可智能自动归档到员工个人绩效考核子集中，无缝为薪酬、培训、晋升等业务提供完整的绩效考核结果数据。</w:t>
      </w:r>
    </w:p>
    <w:p>
      <w:pPr>
        <w:keepNext/>
        <w:keepLines/>
        <w:spacing w:line="360" w:lineRule="auto"/>
        <w:ind w:left="420" w:hanging="420"/>
        <w:outlineLvl w:val="3"/>
        <w:rPr>
          <w:rFonts w:ascii="等线 Light" w:hAnsi="等线 Light" w:eastAsia="等线 Light" w:cs="Times New Roman"/>
          <w:b w:val="0"/>
          <w:bCs w:val="0"/>
          <w:color w:val="auto"/>
          <w:sz w:val="24"/>
          <w:szCs w:val="24"/>
          <w:highlight w:val="none"/>
        </w:rPr>
      </w:pPr>
      <w:bookmarkStart w:id="10" w:name="_Toc40714968"/>
      <w:bookmarkStart w:id="11" w:name="_Toc4272"/>
      <w:r>
        <w:rPr>
          <w:rFonts w:hint="eastAsia" w:ascii="等线 Light" w:hAnsi="等线 Light" w:eastAsia="等线 Light" w:cs="Times New Roman"/>
          <w:b w:val="0"/>
          <w:bCs w:val="0"/>
          <w:color w:val="auto"/>
          <w:sz w:val="24"/>
          <w:szCs w:val="24"/>
          <w:highlight w:val="none"/>
        </w:rPr>
        <w:t>3.4</w:t>
      </w:r>
      <w:r>
        <w:rPr>
          <w:rFonts w:ascii="等线 Light" w:hAnsi="等线 Light" w:eastAsia="等线 Light" w:cs="Times New Roman"/>
          <w:b w:val="0"/>
          <w:bCs w:val="0"/>
          <w:color w:val="auto"/>
          <w:sz w:val="24"/>
          <w:szCs w:val="24"/>
          <w:highlight w:val="none"/>
        </w:rPr>
        <w:t>.职称管理</w:t>
      </w:r>
      <w:bookmarkEnd w:id="10"/>
      <w:bookmarkEnd w:id="11"/>
    </w:p>
    <w:p>
      <w:pPr>
        <w:keepNext/>
        <w:keepLines/>
        <w:spacing w:line="360" w:lineRule="auto"/>
        <w:outlineLvl w:val="4"/>
        <w:rPr>
          <w:rFonts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3.4.1</w:t>
      </w:r>
      <w:r>
        <w:rPr>
          <w:rFonts w:ascii="宋体" w:hAnsi="宋体" w:eastAsia="宋体" w:cs="Times New Roman"/>
          <w:b w:val="0"/>
          <w:bCs w:val="0"/>
          <w:color w:val="auto"/>
          <w:szCs w:val="21"/>
          <w:highlight w:val="none"/>
        </w:rPr>
        <w:t>职称评审</w:t>
      </w:r>
    </w:p>
    <w:p>
      <w:pPr>
        <w:numPr>
          <w:ilvl w:val="0"/>
          <w:numId w:val="8"/>
        </w:numPr>
        <w:spacing w:line="360" w:lineRule="auto"/>
        <w:rPr>
          <w:rFonts w:ascii="宋体" w:hAnsi="宋体" w:eastAsia="宋体" w:cs="Times New Roman"/>
          <w:b w:val="0"/>
          <w:bCs w:val="0"/>
          <w:color w:val="auto"/>
          <w:szCs w:val="24"/>
          <w:highlight w:val="none"/>
        </w:rPr>
      </w:pPr>
      <w:r>
        <w:rPr>
          <w:rFonts w:hint="eastAsia" w:ascii="宋体" w:hAnsi="宋体" w:eastAsia="宋体" w:cs="宋体"/>
          <w:b w:val="0"/>
          <w:bCs w:val="0"/>
          <w:color w:val="auto"/>
          <w:kern w:val="0"/>
          <w:szCs w:val="21"/>
          <w:highlight w:val="none"/>
        </w:rPr>
        <w:t>有</w:t>
      </w:r>
      <w:r>
        <w:rPr>
          <w:rFonts w:hint="eastAsia" w:ascii="宋体" w:hAnsi="宋体" w:eastAsia="宋体" w:cs="Times New Roman"/>
          <w:b w:val="0"/>
          <w:bCs w:val="0"/>
          <w:color w:val="auto"/>
          <w:szCs w:val="24"/>
          <w:highlight w:val="none"/>
        </w:rPr>
        <w:t>完整的职称管理体系，工作流程可根据用户需求自定义。</w:t>
      </w:r>
    </w:p>
    <w:p>
      <w:pPr>
        <w:numPr>
          <w:ilvl w:val="0"/>
          <w:numId w:val="8"/>
        </w:numPr>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可以设置预警条件，根据评审要求预警出哪些人员达到了初级、中级、高级职称的评审条件。</w:t>
      </w:r>
    </w:p>
    <w:p>
      <w:pPr>
        <w:numPr>
          <w:ilvl w:val="0"/>
          <w:numId w:val="8"/>
        </w:numPr>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通过系统公告等功能批量向职工、综合管理岗、科研管理岗等推送职称评审的文件、通知，如职称评审工作安排、各岗位分类职称申报条件要求等。</w:t>
      </w:r>
    </w:p>
    <w:p>
      <w:pPr>
        <w:numPr>
          <w:ilvl w:val="0"/>
          <w:numId w:val="8"/>
        </w:numPr>
        <w:spacing w:line="360" w:lineRule="auto"/>
        <w:rPr>
          <w:rFonts w:ascii="宋体" w:hAnsi="宋体" w:eastAsia="宋体" w:cs="Times New Roman"/>
          <w:b w:val="0"/>
          <w:bCs w:val="0"/>
          <w:color w:val="auto"/>
          <w:szCs w:val="24"/>
          <w:highlight w:val="none"/>
        </w:rPr>
      </w:pPr>
      <w:r>
        <w:rPr>
          <w:rFonts w:hint="eastAsia" w:ascii="宋体" w:hAnsi="宋体" w:eastAsia="宋体" w:cs="Times New Roman"/>
          <w:b w:val="0"/>
          <w:bCs w:val="0"/>
          <w:color w:val="auto"/>
          <w:szCs w:val="24"/>
          <w:highlight w:val="none"/>
        </w:rPr>
        <w:t>职称申报可根据专技填报类别设置多项填报批次，并可绑定专技填报不同的内容信息。可将各类申报表格置入系统，系统自动提取基本信息，在设定的填报时间范围内，符合条件的职工均可通过自助平台进行个人填报。</w:t>
      </w:r>
    </w:p>
    <w:p>
      <w:pPr>
        <w:numPr>
          <w:ilvl w:val="0"/>
          <w:numId w:val="8"/>
        </w:numPr>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短信或邮件通知符合条件职工填写认定申请。</w:t>
      </w:r>
    </w:p>
    <w:p>
      <w:pPr>
        <w:numPr>
          <w:ilvl w:val="0"/>
          <w:numId w:val="8"/>
        </w:numPr>
        <w:spacing w:line="360" w:lineRule="auto"/>
        <w:rPr>
          <w:rFonts w:ascii="宋体" w:hAnsi="宋体" w:eastAsia="宋体" w:cs="Times New Roman"/>
          <w:b w:val="0"/>
          <w:bCs w:val="0"/>
          <w:color w:val="auto"/>
          <w:szCs w:val="24"/>
          <w:highlight w:val="none"/>
        </w:rPr>
      </w:pPr>
      <w:r>
        <w:rPr>
          <w:rFonts w:hint="eastAsia" w:ascii="宋体" w:hAnsi="宋体" w:eastAsia="宋体" w:cs="Times New Roman"/>
          <w:b w:val="0"/>
          <w:bCs w:val="0"/>
          <w:color w:val="auto"/>
          <w:szCs w:val="24"/>
          <w:highlight w:val="none"/>
        </w:rPr>
        <w:t>信息录入支持电子文件上传与审核，自动生成申报表等表格，支持打印和下载。</w:t>
      </w:r>
    </w:p>
    <w:p>
      <w:pPr>
        <w:numPr>
          <w:ilvl w:val="0"/>
          <w:numId w:val="8"/>
        </w:numPr>
        <w:spacing w:line="360" w:lineRule="auto"/>
        <w:rPr>
          <w:rFonts w:ascii="宋体" w:hAnsi="宋体" w:eastAsia="宋体" w:cs="Times New Roman"/>
          <w:b w:val="0"/>
          <w:bCs w:val="0"/>
          <w:color w:val="auto"/>
          <w:szCs w:val="24"/>
          <w:highlight w:val="none"/>
        </w:rPr>
      </w:pPr>
      <w:r>
        <w:rPr>
          <w:rFonts w:hint="eastAsia" w:ascii="宋体" w:hAnsi="宋体" w:eastAsia="宋体" w:cs="Times New Roman"/>
          <w:b w:val="0"/>
          <w:bCs w:val="0"/>
          <w:color w:val="auto"/>
          <w:szCs w:val="24"/>
          <w:highlight w:val="none"/>
        </w:rPr>
        <w:t>可对流程各阶段的人数等信息进行统计分析，如申报人数，初审通过人数等。</w:t>
      </w:r>
    </w:p>
    <w:p>
      <w:pPr>
        <w:numPr>
          <w:ilvl w:val="0"/>
          <w:numId w:val="8"/>
        </w:numPr>
        <w:spacing w:line="360" w:lineRule="auto"/>
        <w:rPr>
          <w:rFonts w:ascii="宋体" w:hAnsi="宋体" w:eastAsia="宋体" w:cs="Times New Roman"/>
          <w:b w:val="0"/>
          <w:bCs w:val="0"/>
          <w:color w:val="auto"/>
          <w:szCs w:val="24"/>
          <w:highlight w:val="none"/>
        </w:rPr>
      </w:pPr>
      <w:r>
        <w:rPr>
          <w:rFonts w:hint="eastAsia" w:ascii="宋体" w:hAnsi="宋体" w:eastAsia="宋体" w:cs="Times New Roman"/>
          <w:b w:val="0"/>
          <w:bCs w:val="0"/>
          <w:color w:val="auto"/>
          <w:szCs w:val="24"/>
          <w:highlight w:val="none"/>
        </w:rPr>
        <w:t>有指标分配功能，用户根据指标分配政策填写结构比例，自动统计分配人数。</w:t>
      </w:r>
    </w:p>
    <w:p>
      <w:pPr>
        <w:numPr>
          <w:ilvl w:val="0"/>
          <w:numId w:val="8"/>
        </w:numPr>
        <w:spacing w:line="360" w:lineRule="auto"/>
        <w:rPr>
          <w:rFonts w:ascii="宋体" w:hAnsi="宋体" w:eastAsia="宋体" w:cs="Times New Roman"/>
          <w:b w:val="0"/>
          <w:bCs w:val="0"/>
          <w:color w:val="auto"/>
          <w:szCs w:val="24"/>
          <w:highlight w:val="none"/>
        </w:rPr>
      </w:pPr>
      <w:r>
        <w:rPr>
          <w:rFonts w:hint="eastAsia" w:ascii="宋体" w:hAnsi="宋体" w:eastAsia="宋体" w:cs="Times New Roman"/>
          <w:b w:val="0"/>
          <w:bCs w:val="0"/>
          <w:color w:val="auto"/>
          <w:szCs w:val="24"/>
          <w:highlight w:val="none"/>
        </w:rPr>
        <w:t>支持在线投票与评分，可通过网上、移动端等方式完成职称评审中的民主推荐投票和统计。</w:t>
      </w:r>
    </w:p>
    <w:p>
      <w:pPr>
        <w:numPr>
          <w:ilvl w:val="0"/>
          <w:numId w:val="8"/>
        </w:numPr>
        <w:spacing w:line="360" w:lineRule="auto"/>
        <w:rPr>
          <w:rFonts w:ascii="宋体" w:hAnsi="宋体" w:eastAsia="宋体" w:cs="Times New Roman"/>
          <w:b w:val="0"/>
          <w:bCs w:val="0"/>
          <w:color w:val="auto"/>
          <w:szCs w:val="24"/>
          <w:highlight w:val="none"/>
        </w:rPr>
      </w:pPr>
      <w:r>
        <w:rPr>
          <w:rFonts w:hint="eastAsia" w:ascii="宋体" w:hAnsi="宋体" w:eastAsia="宋体" w:cs="Times New Roman"/>
          <w:b w:val="0"/>
          <w:bCs w:val="0"/>
          <w:color w:val="auto"/>
          <w:szCs w:val="24"/>
          <w:highlight w:val="none"/>
        </w:rPr>
        <w:t>可灵活授予参与职称评审工作的工作人员权限，对授权范围内的申报材料在限期内进行浏览、审核，对未及时完成审核工作的经办人系统自动提醒、督办。</w:t>
      </w:r>
    </w:p>
    <w:p>
      <w:pPr>
        <w:numPr>
          <w:ilvl w:val="0"/>
          <w:numId w:val="8"/>
        </w:numPr>
        <w:spacing w:line="360" w:lineRule="auto"/>
        <w:rPr>
          <w:rFonts w:ascii="宋体" w:hAnsi="宋体" w:eastAsia="宋体" w:cs="Times New Roman"/>
          <w:b w:val="0"/>
          <w:bCs w:val="0"/>
          <w:color w:val="auto"/>
          <w:szCs w:val="24"/>
          <w:highlight w:val="none"/>
        </w:rPr>
      </w:pPr>
      <w:r>
        <w:rPr>
          <w:rFonts w:hint="eastAsia" w:ascii="宋体" w:hAnsi="宋体" w:eastAsia="宋体" w:cs="Times New Roman"/>
          <w:b w:val="0"/>
          <w:bCs w:val="0"/>
          <w:color w:val="auto"/>
          <w:szCs w:val="24"/>
          <w:highlight w:val="none"/>
        </w:rPr>
        <w:t>支持多部门多用户并发审核。</w:t>
      </w:r>
    </w:p>
    <w:p>
      <w:pPr>
        <w:numPr>
          <w:ilvl w:val="0"/>
          <w:numId w:val="8"/>
        </w:numPr>
        <w:spacing w:line="360" w:lineRule="auto"/>
        <w:rPr>
          <w:rFonts w:ascii="Times New Roman" w:hAnsi="Times New Roman" w:eastAsia="宋体" w:cs="Times New Roman"/>
          <w:b w:val="0"/>
          <w:bCs w:val="0"/>
          <w:color w:val="auto"/>
          <w:szCs w:val="24"/>
          <w:highlight w:val="none"/>
        </w:rPr>
      </w:pPr>
      <w:r>
        <w:rPr>
          <w:rFonts w:hint="eastAsia" w:ascii="宋体" w:hAnsi="宋体" w:eastAsia="宋体" w:cs="Times New Roman"/>
          <w:b w:val="0"/>
          <w:bCs w:val="0"/>
          <w:color w:val="auto"/>
          <w:szCs w:val="24"/>
          <w:highlight w:val="none"/>
        </w:rPr>
        <w:t>自动生成评审结果，确定后可自动发布公示。</w:t>
      </w:r>
    </w:p>
    <w:p>
      <w:pPr>
        <w:keepNext/>
        <w:keepLines/>
        <w:spacing w:line="360" w:lineRule="auto"/>
        <w:outlineLvl w:val="4"/>
        <w:rPr>
          <w:rFonts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3.4.2</w:t>
      </w:r>
      <w:r>
        <w:rPr>
          <w:rFonts w:ascii="宋体" w:hAnsi="宋体" w:eastAsia="宋体" w:cs="Times New Roman"/>
          <w:b w:val="0"/>
          <w:bCs w:val="0"/>
          <w:color w:val="auto"/>
          <w:szCs w:val="21"/>
          <w:highlight w:val="none"/>
        </w:rPr>
        <w:t>职称聘任</w:t>
      </w:r>
    </w:p>
    <w:p>
      <w:pPr>
        <w:numPr>
          <w:ilvl w:val="0"/>
          <w:numId w:val="9"/>
        </w:numPr>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自定义各系列各级别职称聘任申请表模板，实现申报材料的在线填写、在线审批。</w:t>
      </w:r>
    </w:p>
    <w:p>
      <w:pPr>
        <w:numPr>
          <w:ilvl w:val="0"/>
          <w:numId w:val="9"/>
        </w:numPr>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职工通过帐号和密码登录系统进行填报。本人可以选择、添加、删除、修改、编辑、填写，进行完善。可上传附件材料如代表作、学历学位复印件等。</w:t>
      </w:r>
    </w:p>
    <w:p>
      <w:pPr>
        <w:numPr>
          <w:ilvl w:val="0"/>
          <w:numId w:val="9"/>
        </w:numPr>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聘任流程：个人申报→科室审批（提出意见）→人事部审核→相关科室审核（医务、纪检、院办、护理等）→生成汇总表→院领导查看→打印上会。也可以根据客户的实际要求更改。</w:t>
      </w:r>
    </w:p>
    <w:p>
      <w:pPr>
        <w:numPr>
          <w:ilvl w:val="0"/>
          <w:numId w:val="9"/>
        </w:numPr>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结果统计：根据计算规格计算出评审各项的得分，自动统计总分数，给职称聘任提供依据。</w:t>
      </w:r>
    </w:p>
    <w:p>
      <w:pPr>
        <w:numPr>
          <w:ilvl w:val="0"/>
          <w:numId w:val="9"/>
        </w:numPr>
        <w:spacing w:line="360" w:lineRule="auto"/>
        <w:rPr>
          <w:rFonts w:ascii="Times New Roman" w:hAnsi="Times New Roman" w:eastAsia="宋体" w:cs="Times New Roman"/>
          <w:b w:val="0"/>
          <w:bCs w:val="0"/>
          <w:color w:val="auto"/>
          <w:szCs w:val="24"/>
          <w:highlight w:val="none"/>
        </w:rPr>
      </w:pPr>
      <w:r>
        <w:rPr>
          <w:rFonts w:hint="eastAsia" w:ascii="宋体" w:hAnsi="宋体" w:eastAsia="宋体" w:cs="宋体"/>
          <w:b w:val="0"/>
          <w:bCs w:val="0"/>
          <w:color w:val="auto"/>
          <w:kern w:val="0"/>
          <w:szCs w:val="21"/>
          <w:highlight w:val="none"/>
        </w:rPr>
        <w:t>职称聘任结果智能归档，实现过程数据与结果数据的完整存档。</w:t>
      </w:r>
    </w:p>
    <w:p>
      <w:pPr>
        <w:keepNext/>
        <w:keepLines/>
        <w:spacing w:line="360" w:lineRule="auto"/>
        <w:ind w:left="420" w:hanging="420"/>
        <w:outlineLvl w:val="3"/>
        <w:rPr>
          <w:rFonts w:ascii="等线 Light" w:hAnsi="等线 Light" w:eastAsia="等线 Light" w:cs="Times New Roman"/>
          <w:b w:val="0"/>
          <w:bCs w:val="0"/>
          <w:color w:val="auto"/>
          <w:sz w:val="24"/>
          <w:szCs w:val="24"/>
          <w:highlight w:val="none"/>
        </w:rPr>
      </w:pPr>
      <w:bookmarkStart w:id="12" w:name="_Toc17304"/>
      <w:bookmarkStart w:id="13" w:name="_Toc40714969"/>
      <w:r>
        <w:rPr>
          <w:rFonts w:hint="eastAsia" w:ascii="等线 Light" w:hAnsi="等线 Light" w:eastAsia="等线 Light" w:cs="Times New Roman"/>
          <w:b w:val="0"/>
          <w:bCs w:val="0"/>
          <w:color w:val="auto"/>
          <w:sz w:val="24"/>
          <w:szCs w:val="24"/>
          <w:highlight w:val="none"/>
        </w:rPr>
        <w:t>3.5</w:t>
      </w:r>
      <w:r>
        <w:rPr>
          <w:rFonts w:ascii="等线 Light" w:hAnsi="等线 Light" w:eastAsia="等线 Light" w:cs="Times New Roman"/>
          <w:b w:val="0"/>
          <w:bCs w:val="0"/>
          <w:color w:val="auto"/>
          <w:sz w:val="24"/>
          <w:szCs w:val="24"/>
          <w:highlight w:val="none"/>
        </w:rPr>
        <w:t>.测评</w:t>
      </w:r>
      <w:bookmarkEnd w:id="12"/>
      <w:bookmarkEnd w:id="13"/>
      <w:r>
        <w:rPr>
          <w:rFonts w:hint="eastAsia" w:ascii="等线 Light" w:hAnsi="等线 Light" w:eastAsia="等线 Light" w:cs="Times New Roman"/>
          <w:b w:val="0"/>
          <w:bCs w:val="0"/>
          <w:color w:val="auto"/>
          <w:sz w:val="24"/>
          <w:szCs w:val="24"/>
          <w:highlight w:val="none"/>
        </w:rPr>
        <w:t>管理</w:t>
      </w:r>
      <w:r>
        <w:rPr>
          <w:rFonts w:ascii="等线 Light" w:hAnsi="等线 Light" w:eastAsia="等线 Light" w:cs="Times New Roman"/>
          <w:b w:val="0"/>
          <w:bCs w:val="0"/>
          <w:color w:val="auto"/>
          <w:sz w:val="24"/>
          <w:szCs w:val="24"/>
          <w:highlight w:val="none"/>
        </w:rPr>
        <w:tab/>
      </w:r>
    </w:p>
    <w:p>
      <w:pPr>
        <w:numPr>
          <w:ilvl w:val="0"/>
          <w:numId w:val="10"/>
        </w:numPr>
        <w:spacing w:line="360" w:lineRule="auto"/>
        <w:rPr>
          <w:rFonts w:ascii="Times New Roman" w:hAnsi="Times New Roman" w:eastAsia="宋体" w:cs="Times New Roman"/>
          <w:b w:val="0"/>
          <w:bCs w:val="0"/>
          <w:color w:val="auto"/>
          <w:szCs w:val="24"/>
          <w:highlight w:val="none"/>
        </w:rPr>
      </w:pPr>
      <w:r>
        <w:rPr>
          <w:rFonts w:hint="eastAsia" w:ascii="宋体" w:hAnsi="宋体" w:eastAsia="宋体" w:cs="宋体"/>
          <w:b w:val="0"/>
          <w:bCs w:val="0"/>
          <w:color w:val="auto"/>
          <w:kern w:val="0"/>
          <w:szCs w:val="21"/>
          <w:highlight w:val="none"/>
        </w:rPr>
        <w:t>支持民主测评全流程在线闭环管理，实现从评价、统计、汇总到归档等方面工作的全流程在线闭环管理。</w:t>
      </w:r>
    </w:p>
    <w:p>
      <w:pPr>
        <w:numPr>
          <w:ilvl w:val="0"/>
          <w:numId w:val="10"/>
        </w:numPr>
        <w:spacing w:line="360" w:lineRule="auto"/>
        <w:rPr>
          <w:rFonts w:ascii="宋体" w:hAnsi="宋体" w:eastAsia="宋体" w:cs="宋体"/>
          <w:b w:val="0"/>
          <w:bCs w:val="0"/>
          <w:color w:val="auto"/>
          <w:kern w:val="0"/>
          <w:szCs w:val="21"/>
          <w:highlight w:val="none"/>
        </w:rPr>
      </w:pPr>
      <w:r>
        <w:rPr>
          <w:rFonts w:ascii="宋体" w:hAnsi="宋体" w:eastAsia="宋体" w:cs="宋体"/>
          <w:b w:val="0"/>
          <w:bCs w:val="0"/>
          <w:color w:val="auto"/>
          <w:kern w:val="0"/>
          <w:szCs w:val="21"/>
          <w:highlight w:val="none"/>
        </w:rPr>
        <w:t>可根据民主测评需求，在系统中灵活设置测评指标体系，可自定义各测评指标的评分标准、测评关系以及测评主体的权重等。</w:t>
      </w:r>
    </w:p>
    <w:p>
      <w:pPr>
        <w:numPr>
          <w:ilvl w:val="0"/>
          <w:numId w:val="10"/>
        </w:numPr>
        <w:spacing w:line="360" w:lineRule="auto"/>
        <w:rPr>
          <w:rFonts w:ascii="宋体" w:hAnsi="宋体" w:eastAsia="宋体" w:cs="宋体"/>
          <w:b w:val="0"/>
          <w:bCs w:val="0"/>
          <w:color w:val="auto"/>
          <w:kern w:val="0"/>
          <w:szCs w:val="21"/>
          <w:highlight w:val="none"/>
        </w:rPr>
      </w:pPr>
      <w:r>
        <w:rPr>
          <w:rFonts w:ascii="宋体" w:hAnsi="宋体" w:eastAsia="宋体" w:cs="宋体"/>
          <w:b w:val="0"/>
          <w:bCs w:val="0"/>
          <w:color w:val="auto"/>
          <w:kern w:val="0"/>
          <w:szCs w:val="21"/>
          <w:highlight w:val="none"/>
        </w:rPr>
        <w:t>系统提供PC端和移动端两种民主测评方式,由测评主体直接在系统中进行民主测评，测评结束后，由系统自动按照指标的评分标准和权重计算测评结果</w:t>
      </w:r>
      <w:r>
        <w:rPr>
          <w:rFonts w:hint="eastAsia" w:ascii="宋体" w:hAnsi="宋体" w:eastAsia="宋体" w:cs="宋体"/>
          <w:b w:val="0"/>
          <w:bCs w:val="0"/>
          <w:color w:val="auto"/>
          <w:kern w:val="0"/>
          <w:szCs w:val="21"/>
          <w:highlight w:val="none"/>
        </w:rPr>
        <w:t>。</w:t>
      </w:r>
    </w:p>
    <w:p>
      <w:pPr>
        <w:numPr>
          <w:ilvl w:val="0"/>
          <w:numId w:val="10"/>
        </w:numPr>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既支持现场民主测评会，也支持非现场民主测评会。在后台实时监控投票总体进展情况，清晰展示有多少票未评价、多少票未提交和多少票已评价，针对未投票人员可以通过短信、邮件等沟通方式在线提醒和催促。</w:t>
      </w:r>
    </w:p>
    <w:p>
      <w:pPr>
        <w:numPr>
          <w:ilvl w:val="0"/>
          <w:numId w:val="10"/>
        </w:numPr>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支持记名测评与不记名测评模式两种模式，不记名测评模式实现“随机生成二维码、随机分发二维码、随机选用设备”三重随机机制，保证投票的匿名性。</w:t>
      </w:r>
    </w:p>
    <w:p>
      <w:pPr>
        <w:numPr>
          <w:ilvl w:val="0"/>
          <w:numId w:val="10"/>
        </w:numPr>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民主测评结果支持自动归档到员工个人档案民主测评子集中。</w:t>
      </w:r>
    </w:p>
    <w:p>
      <w:pPr>
        <w:numPr>
          <w:ilvl w:val="0"/>
          <w:numId w:val="10"/>
        </w:numPr>
        <w:spacing w:line="360" w:lineRule="auto"/>
        <w:rPr>
          <w:rFonts w:ascii="Times New Roman" w:hAnsi="Times New Roman" w:eastAsia="宋体" w:cs="Times New Roman"/>
          <w:b w:val="0"/>
          <w:bCs w:val="0"/>
          <w:color w:val="auto"/>
          <w:szCs w:val="24"/>
          <w:highlight w:val="none"/>
        </w:rPr>
      </w:pPr>
      <w:r>
        <w:rPr>
          <w:rFonts w:hint="eastAsia" w:ascii="宋体" w:hAnsi="宋体" w:eastAsia="宋体" w:cs="宋体"/>
          <w:b w:val="0"/>
          <w:bCs w:val="0"/>
          <w:color w:val="auto"/>
          <w:kern w:val="0"/>
          <w:szCs w:val="21"/>
          <w:highlight w:val="none"/>
        </w:rPr>
        <w:t>系统提供勤情况表、结果统计表（分票）、票数占比汇总表、测评对象得分明细表、测评主体打分明细表和测评对象指标得分汇总表等相关的统计分析报表对测评结果进行多维度分析，为决策提供全方位数据支持。</w:t>
      </w:r>
    </w:p>
    <w:p>
      <w:pPr>
        <w:keepNext/>
        <w:keepLines/>
        <w:spacing w:line="360" w:lineRule="auto"/>
        <w:ind w:left="420" w:hanging="420"/>
        <w:outlineLvl w:val="3"/>
        <w:rPr>
          <w:rFonts w:ascii="等线 Light" w:hAnsi="等线 Light" w:eastAsia="等线 Light" w:cs="Times New Roman"/>
          <w:b w:val="0"/>
          <w:bCs w:val="0"/>
          <w:color w:val="auto"/>
          <w:sz w:val="24"/>
          <w:szCs w:val="24"/>
          <w:highlight w:val="none"/>
        </w:rPr>
      </w:pPr>
      <w:bookmarkStart w:id="14" w:name="_Toc35074632"/>
      <w:bookmarkStart w:id="15" w:name="_Toc16286"/>
      <w:r>
        <w:rPr>
          <w:rFonts w:hint="eastAsia" w:ascii="等线 Light" w:hAnsi="等线 Light" w:eastAsia="等线 Light" w:cs="Times New Roman"/>
          <w:b w:val="0"/>
          <w:bCs w:val="0"/>
          <w:color w:val="auto"/>
          <w:sz w:val="24"/>
          <w:szCs w:val="24"/>
          <w:highlight w:val="none"/>
        </w:rPr>
        <w:t>3.6</w:t>
      </w:r>
      <w:r>
        <w:rPr>
          <w:rFonts w:ascii="等线 Light" w:hAnsi="等线 Light" w:eastAsia="等线 Light" w:cs="Times New Roman"/>
          <w:b w:val="0"/>
          <w:bCs w:val="0"/>
          <w:color w:val="auto"/>
          <w:sz w:val="24"/>
          <w:szCs w:val="24"/>
          <w:highlight w:val="none"/>
        </w:rPr>
        <w:t>.岗位竞聘管理</w:t>
      </w:r>
      <w:bookmarkEnd w:id="14"/>
      <w:bookmarkEnd w:id="15"/>
    </w:p>
    <w:p>
      <w:pPr>
        <w:numPr>
          <w:ilvl w:val="0"/>
          <w:numId w:val="11"/>
        </w:numPr>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可自定义院内岗位竞聘、人才评审等业务管理计划，岗位竞聘计划可提供包括但不限于是否表决、是否允许报名、是否唯一评分、岗位是否需要审核等参数设置开关，自定义邀请人员通知信息、催办通知信息、结果反馈通知、结果公示信息等模板。</w:t>
      </w:r>
    </w:p>
    <w:p>
      <w:pPr>
        <w:numPr>
          <w:ilvl w:val="0"/>
          <w:numId w:val="11"/>
        </w:numPr>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系统能够跟岗位编制管理联动，实现与缺编岗位无缝衔接，智能预警缺岗缺编情况，依据缺编岗位有针对性的制定竞聘计划。</w:t>
      </w:r>
    </w:p>
    <w:p>
      <w:pPr>
        <w:numPr>
          <w:ilvl w:val="0"/>
          <w:numId w:val="11"/>
        </w:numPr>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可在系统中进行报名申请或直接指定候选人、资格审核、在线评审、结果汇总、表决等管理过程。</w:t>
      </w:r>
    </w:p>
    <w:p>
      <w:pPr>
        <w:numPr>
          <w:ilvl w:val="0"/>
          <w:numId w:val="11"/>
        </w:numPr>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当选择“评审”模式时，可在专家库中选择专家人员进行评审打分。</w:t>
      </w:r>
    </w:p>
    <w:p>
      <w:pPr>
        <w:numPr>
          <w:ilvl w:val="0"/>
          <w:numId w:val="11"/>
        </w:numPr>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系统可建立专家库，维护专家信息。</w:t>
      </w:r>
    </w:p>
    <w:p>
      <w:pPr>
        <w:numPr>
          <w:ilvl w:val="0"/>
          <w:numId w:val="11"/>
        </w:numPr>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系统支持专家通过PC、IPAD、移动端等多种终端在线打分，并自动生成评审结果，评审结果支持在线表决。</w:t>
      </w:r>
    </w:p>
    <w:p>
      <w:pPr>
        <w:numPr>
          <w:ilvl w:val="0"/>
          <w:numId w:val="11"/>
        </w:numPr>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评审表可自定义指标，权重项。</w:t>
      </w:r>
    </w:p>
    <w:p>
      <w:pPr>
        <w:numPr>
          <w:ilvl w:val="0"/>
          <w:numId w:val="11"/>
        </w:numPr>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申报过程中所需的各类申报表格式可根据需要自由绘制，申报表可自定义申报指标。</w:t>
      </w:r>
    </w:p>
    <w:p>
      <w:pPr>
        <w:numPr>
          <w:ilvl w:val="0"/>
          <w:numId w:val="11"/>
        </w:numPr>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竞聘人能够自助查看个人竞聘结果，可在线发起异议申诉。</w:t>
      </w:r>
    </w:p>
    <w:p>
      <w:pPr>
        <w:numPr>
          <w:ilvl w:val="0"/>
          <w:numId w:val="11"/>
        </w:numPr>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岗位竞聘各步骤需要提供了汇总界面，包括岗位汇总、报名汇总、审核汇总、评分汇总、结果汇总，人事科能够查看与一键快捷导出各步骤的“汇总一览表”。提供一页式操作模式，能够在一个界面查看到每个岗位所有报名人员信息和报名表的明细、在一个界面查看到表决结果。</w:t>
      </w:r>
    </w:p>
    <w:p>
      <w:pPr>
        <w:numPr>
          <w:ilvl w:val="0"/>
          <w:numId w:val="11"/>
        </w:numPr>
        <w:spacing w:line="360" w:lineRule="auto"/>
        <w:rPr>
          <w:rFonts w:ascii="Times New Roman" w:hAnsi="Times New Roman" w:eastAsia="宋体" w:cs="Times New Roman"/>
          <w:b w:val="0"/>
          <w:bCs w:val="0"/>
          <w:color w:val="auto"/>
          <w:szCs w:val="24"/>
          <w:highlight w:val="none"/>
        </w:rPr>
      </w:pPr>
      <w:r>
        <w:rPr>
          <w:rFonts w:hint="eastAsia" w:ascii="宋体" w:hAnsi="宋体" w:eastAsia="宋体" w:cs="宋体"/>
          <w:b w:val="0"/>
          <w:bCs w:val="0"/>
          <w:color w:val="auto"/>
          <w:kern w:val="0"/>
          <w:szCs w:val="21"/>
          <w:highlight w:val="none"/>
        </w:rPr>
        <w:t>在岗位竞聘管理模块，在进入模块首页时提供岗位竞聘管理运营窗口，岗位竞聘管理运营窗口一是医院岗位竞聘政策查看、功能导航图、管理范围内的消息通知及代办、流程审批等功能全景；二是以进度表形式清晰直观展示每个岗位竞聘计划的执行情况，统揽全局。</w:t>
      </w:r>
    </w:p>
    <w:p>
      <w:pPr>
        <w:keepNext/>
        <w:keepLines/>
        <w:spacing w:line="360" w:lineRule="auto"/>
        <w:ind w:left="420" w:hanging="420"/>
        <w:outlineLvl w:val="3"/>
        <w:rPr>
          <w:rFonts w:ascii="等线 Light" w:hAnsi="等线 Light" w:eastAsia="等线 Light" w:cs="Times New Roman"/>
          <w:b w:val="0"/>
          <w:bCs w:val="0"/>
          <w:color w:val="auto"/>
          <w:sz w:val="24"/>
          <w:szCs w:val="24"/>
          <w:highlight w:val="none"/>
        </w:rPr>
      </w:pPr>
      <w:bookmarkStart w:id="16" w:name="_Toc40714975"/>
      <w:bookmarkStart w:id="17" w:name="_Toc15357"/>
      <w:r>
        <w:rPr>
          <w:rFonts w:hint="eastAsia" w:ascii="等线 Light" w:hAnsi="等线 Light" w:eastAsia="等线 Light" w:cs="Times New Roman"/>
          <w:b w:val="0"/>
          <w:bCs w:val="0"/>
          <w:color w:val="auto"/>
          <w:sz w:val="24"/>
          <w:szCs w:val="24"/>
          <w:highlight w:val="none"/>
        </w:rPr>
        <w:t>3.7</w:t>
      </w:r>
      <w:r>
        <w:rPr>
          <w:rFonts w:ascii="等线 Light" w:hAnsi="等线 Light" w:eastAsia="等线 Light" w:cs="Times New Roman"/>
          <w:b w:val="0"/>
          <w:bCs w:val="0"/>
          <w:color w:val="auto"/>
          <w:sz w:val="24"/>
          <w:szCs w:val="24"/>
          <w:highlight w:val="none"/>
        </w:rPr>
        <w:t>.领导桌面</w:t>
      </w:r>
      <w:bookmarkEnd w:id="16"/>
      <w:r>
        <w:rPr>
          <w:rFonts w:hint="eastAsia" w:ascii="等线 Light" w:hAnsi="等线 Light" w:eastAsia="等线 Light" w:cs="Times New Roman"/>
          <w:b w:val="0"/>
          <w:bCs w:val="0"/>
          <w:color w:val="auto"/>
          <w:sz w:val="24"/>
          <w:szCs w:val="24"/>
          <w:highlight w:val="none"/>
        </w:rPr>
        <w:t>（分析研判/管理大屏）</w:t>
      </w:r>
      <w:bookmarkEnd w:id="17"/>
    </w:p>
    <w:p>
      <w:pPr>
        <w:numPr>
          <w:ilvl w:val="0"/>
          <w:numId w:val="12"/>
        </w:numPr>
        <w:adjustRightInd w:val="0"/>
        <w:snapToGrid w:val="0"/>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领导桌面操作步骤简单、清晰、直观，可根据个人工作习惯灵活调整桌面显示信息。</w:t>
      </w:r>
    </w:p>
    <w:p>
      <w:pPr>
        <w:numPr>
          <w:ilvl w:val="0"/>
          <w:numId w:val="12"/>
        </w:numPr>
        <w:adjustRightInd w:val="0"/>
        <w:snapToGrid w:val="0"/>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提供多种信息浏览方式，领导可以及时准确地了解职工的详细信息，可以浏览机构、职位的信息。</w:t>
      </w:r>
    </w:p>
    <w:p>
      <w:pPr>
        <w:numPr>
          <w:ilvl w:val="0"/>
          <w:numId w:val="12"/>
        </w:numPr>
        <w:adjustRightInd w:val="0"/>
        <w:snapToGrid w:val="0"/>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提供人员、薪酬、绩效等各业务指标的多种统计分析方式，帮助领导从不同侧面了解人力资源状况。</w:t>
      </w:r>
    </w:p>
    <w:p>
      <w:pPr>
        <w:numPr>
          <w:ilvl w:val="0"/>
          <w:numId w:val="12"/>
        </w:numPr>
        <w:adjustRightInd w:val="0"/>
        <w:snapToGrid w:val="0"/>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提供单指标、多指标比对分析，能够显示标准值和警戒值，辅助领导进行决策。</w:t>
      </w:r>
    </w:p>
    <w:p>
      <w:pPr>
        <w:numPr>
          <w:ilvl w:val="0"/>
          <w:numId w:val="12"/>
        </w:numPr>
        <w:adjustRightInd w:val="0"/>
        <w:snapToGrid w:val="0"/>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提供统计报表的纵向比对分析，及时准确的掌握人事的变动情况。</w:t>
      </w:r>
    </w:p>
    <w:p>
      <w:pPr>
        <w:numPr>
          <w:ilvl w:val="0"/>
          <w:numId w:val="12"/>
        </w:numPr>
        <w:adjustRightInd w:val="0"/>
        <w:snapToGrid w:val="0"/>
        <w:spacing w:line="360" w:lineRule="auto"/>
        <w:rPr>
          <w:rFonts w:ascii="Times New Roman" w:hAnsi="Times New Roman" w:eastAsia="宋体" w:cs="Times New Roman"/>
          <w:b w:val="0"/>
          <w:bCs w:val="0"/>
          <w:color w:val="auto"/>
          <w:szCs w:val="24"/>
          <w:highlight w:val="none"/>
        </w:rPr>
      </w:pPr>
      <w:r>
        <w:rPr>
          <w:rFonts w:hint="eastAsia" w:ascii="宋体" w:hAnsi="宋体" w:eastAsia="宋体" w:cs="宋体"/>
          <w:b w:val="0"/>
          <w:bCs w:val="0"/>
          <w:color w:val="auto"/>
          <w:kern w:val="0"/>
          <w:szCs w:val="21"/>
          <w:highlight w:val="none"/>
        </w:rPr>
        <w:t>可从科室、系统、党支部、院区等维度分析数据，展现人才画像，方便分析研判。</w:t>
      </w:r>
    </w:p>
    <w:p>
      <w:pPr>
        <w:keepNext/>
        <w:keepLines/>
        <w:spacing w:line="360" w:lineRule="auto"/>
        <w:ind w:left="420" w:hanging="420"/>
        <w:outlineLvl w:val="3"/>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3.8.出国出境</w:t>
      </w:r>
    </w:p>
    <w:p>
      <w:pPr>
        <w:numPr>
          <w:ilvl w:val="0"/>
          <w:numId w:val="13"/>
        </w:numPr>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出国出境管理支持灵活配置在线申请表单和审批流程。</w:t>
      </w:r>
    </w:p>
    <w:p>
      <w:pPr>
        <w:numPr>
          <w:ilvl w:val="0"/>
          <w:numId w:val="13"/>
        </w:numPr>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系统不仅支持通过手机、电脑随时随地进行因私出国（境）在线申请、审批、查阅进度，实现员工出国/回国等短信提醒和审批数据统计分析等功能，有效解决了审批时间长、逾期未归、人员回国提醒不及时以及数据利用率不高等问题。</w:t>
      </w:r>
    </w:p>
    <w:p>
      <w:pPr>
        <w:numPr>
          <w:ilvl w:val="0"/>
          <w:numId w:val="13"/>
        </w:numPr>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支持关联培训计划等外出安排。</w:t>
      </w:r>
    </w:p>
    <w:p>
      <w:pPr>
        <w:numPr>
          <w:ilvl w:val="0"/>
          <w:numId w:val="13"/>
        </w:numPr>
        <w:spacing w:line="360" w:lineRule="auto"/>
        <w:rPr>
          <w:rFonts w:ascii="Times New Roman" w:hAnsi="Times New Roman" w:eastAsia="宋体" w:cs="Times New Roman"/>
          <w:b w:val="0"/>
          <w:bCs w:val="0"/>
          <w:color w:val="auto"/>
          <w:szCs w:val="24"/>
          <w:highlight w:val="none"/>
        </w:rPr>
      </w:pPr>
      <w:r>
        <w:rPr>
          <w:rFonts w:hint="eastAsia" w:ascii="宋体" w:hAnsi="宋体" w:eastAsia="宋体" w:cs="宋体"/>
          <w:b w:val="0"/>
          <w:bCs w:val="0"/>
          <w:color w:val="auto"/>
          <w:kern w:val="0"/>
          <w:szCs w:val="21"/>
          <w:highlight w:val="none"/>
        </w:rPr>
        <w:t>在出国出境管理模块，在进入模块首页时提供出国出境运营窗口，提供对出国出境人员管理、归档信息等功能导航，管理范围内的消息通知及代办、流程审批等功能全景，对于即将到期的人员进行列出并支持一键提醒，界面内包含有外出政策、知识学习等医院管理规定存放。</w:t>
      </w:r>
    </w:p>
    <w:p>
      <w:pPr>
        <w:keepNext/>
        <w:keepLines/>
        <w:spacing w:line="360" w:lineRule="auto"/>
        <w:ind w:left="420" w:hanging="420"/>
        <w:outlineLvl w:val="3"/>
        <w:rPr>
          <w:rFonts w:ascii="等线 Light" w:hAnsi="等线 Light" w:eastAsia="等线 Light" w:cs="Times New Roman"/>
          <w:b w:val="0"/>
          <w:bCs w:val="0"/>
          <w:color w:val="auto"/>
          <w:sz w:val="24"/>
          <w:szCs w:val="24"/>
          <w:highlight w:val="none"/>
        </w:rPr>
      </w:pPr>
      <w:bookmarkStart w:id="18" w:name="_Toc22033"/>
      <w:r>
        <w:rPr>
          <w:rFonts w:hint="eastAsia" w:ascii="等线 Light" w:hAnsi="等线 Light" w:eastAsia="等线 Light" w:cs="Times New Roman"/>
          <w:b w:val="0"/>
          <w:bCs w:val="0"/>
          <w:color w:val="auto"/>
          <w:sz w:val="24"/>
          <w:szCs w:val="24"/>
          <w:highlight w:val="none"/>
        </w:rPr>
        <w:t>3.9</w:t>
      </w:r>
      <w:r>
        <w:rPr>
          <w:rFonts w:ascii="等线 Light" w:hAnsi="等线 Light" w:eastAsia="等线 Light" w:cs="Times New Roman"/>
          <w:b w:val="0"/>
          <w:bCs w:val="0"/>
          <w:color w:val="auto"/>
          <w:sz w:val="24"/>
          <w:szCs w:val="24"/>
          <w:highlight w:val="none"/>
        </w:rPr>
        <w:t>.</w:t>
      </w:r>
      <w:r>
        <w:rPr>
          <w:rFonts w:hint="eastAsia" w:ascii="等线 Light" w:hAnsi="等线 Light" w:eastAsia="等线 Light" w:cs="Times New Roman"/>
          <w:b w:val="0"/>
          <w:bCs w:val="0"/>
          <w:color w:val="auto"/>
          <w:sz w:val="24"/>
          <w:szCs w:val="24"/>
          <w:highlight w:val="none"/>
        </w:rPr>
        <w:t>证照管理</w:t>
      </w:r>
      <w:bookmarkEnd w:id="18"/>
    </w:p>
    <w:p>
      <w:pPr>
        <w:numPr>
          <w:ilvl w:val="0"/>
          <w:numId w:val="14"/>
        </w:numPr>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支持自定义证照分类，根据证照的归属特点分为个人类证照与单位类证照两种。</w:t>
      </w:r>
    </w:p>
    <w:p>
      <w:pPr>
        <w:numPr>
          <w:ilvl w:val="0"/>
          <w:numId w:val="14"/>
        </w:numPr>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系统可分别在个人子集与单位子集中按照不同的电子证照条目信息建立对应的子集，定义每种证照的指标属性。</w:t>
      </w:r>
    </w:p>
    <w:p>
      <w:pPr>
        <w:numPr>
          <w:ilvl w:val="0"/>
          <w:numId w:val="14"/>
        </w:numPr>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系统可自定义证照的预警信息，例如归还期前十天系统发起归还提醒，通知借阅人与管理员归还证照。</w:t>
      </w:r>
    </w:p>
    <w:p>
      <w:pPr>
        <w:numPr>
          <w:ilvl w:val="0"/>
          <w:numId w:val="14"/>
        </w:numPr>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对于证照具有有效期限制的，在有效期到期前1个月，发起待办提醒，通知管理员进行相应操作。</w:t>
      </w:r>
    </w:p>
    <w:p>
      <w:pPr>
        <w:numPr>
          <w:ilvl w:val="0"/>
          <w:numId w:val="14"/>
        </w:numPr>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系统可自定义证照借阅的申请表单以及审批流程。</w:t>
      </w:r>
    </w:p>
    <w:p>
      <w:pPr>
        <w:numPr>
          <w:ilvl w:val="0"/>
          <w:numId w:val="14"/>
        </w:numPr>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员工通过自助平台可发起原件（如护照或通行证）借阅申请流程。借阅审批通过后，该证照状态变为“原件已借出”。</w:t>
      </w:r>
    </w:p>
    <w:p>
      <w:pPr>
        <w:numPr>
          <w:ilvl w:val="0"/>
          <w:numId w:val="14"/>
        </w:numPr>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查看电子证照列表时，系统显示当前电子证照状态，如是 “可用”、 “原件已借出”、 “已借出”、“不可用”状态。</w:t>
      </w:r>
    </w:p>
    <w:p>
      <w:pPr>
        <w:numPr>
          <w:ilvl w:val="0"/>
          <w:numId w:val="14"/>
        </w:numPr>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对已借出的证照员工可选择归还原件流程，管理员在流程最后一步，收到证照原件后，点击确认归还，结束归还流程。</w:t>
      </w:r>
    </w:p>
    <w:p>
      <w:pPr>
        <w:keepNext/>
        <w:keepLines/>
        <w:spacing w:line="360" w:lineRule="auto"/>
        <w:ind w:left="420" w:hanging="420"/>
        <w:outlineLvl w:val="3"/>
        <w:rPr>
          <w:rFonts w:ascii="等线 Light" w:hAnsi="等线 Light" w:eastAsia="等线 Light" w:cs="Times New Roman"/>
          <w:b w:val="0"/>
          <w:bCs w:val="0"/>
          <w:color w:val="auto"/>
          <w:sz w:val="24"/>
          <w:szCs w:val="24"/>
          <w:highlight w:val="none"/>
        </w:rPr>
      </w:pPr>
      <w:bookmarkStart w:id="19" w:name="_Toc9949"/>
      <w:bookmarkStart w:id="20" w:name="_Toc40714976"/>
      <w:r>
        <w:rPr>
          <w:rFonts w:hint="eastAsia" w:ascii="等线 Light" w:hAnsi="等线 Light" w:eastAsia="等线 Light" w:cs="Times New Roman"/>
          <w:b w:val="0"/>
          <w:bCs w:val="0"/>
          <w:color w:val="auto"/>
          <w:sz w:val="24"/>
          <w:szCs w:val="24"/>
          <w:highlight w:val="none"/>
        </w:rPr>
        <w:t>3</w:t>
      </w:r>
      <w:r>
        <w:rPr>
          <w:rFonts w:ascii="等线 Light" w:hAnsi="等线 Light" w:eastAsia="等线 Light" w:cs="Times New Roman"/>
          <w:b w:val="0"/>
          <w:bCs w:val="0"/>
          <w:color w:val="auto"/>
          <w:sz w:val="24"/>
          <w:szCs w:val="24"/>
          <w:highlight w:val="none"/>
        </w:rPr>
        <w:t>.</w:t>
      </w:r>
      <w:r>
        <w:rPr>
          <w:rFonts w:hint="eastAsia" w:ascii="等线 Light" w:hAnsi="等线 Light" w:eastAsia="等线 Light" w:cs="Times New Roman"/>
          <w:b w:val="0"/>
          <w:bCs w:val="0"/>
          <w:color w:val="auto"/>
          <w:sz w:val="24"/>
          <w:szCs w:val="24"/>
          <w:highlight w:val="none"/>
        </w:rPr>
        <w:t>10</w:t>
      </w:r>
      <w:r>
        <w:rPr>
          <w:rFonts w:ascii="等线 Light" w:hAnsi="等线 Light" w:eastAsia="等线 Light" w:cs="Times New Roman"/>
          <w:b w:val="0"/>
          <w:bCs w:val="0"/>
          <w:color w:val="auto"/>
          <w:sz w:val="24"/>
          <w:szCs w:val="24"/>
          <w:highlight w:val="none"/>
        </w:rPr>
        <w:t>专家中心</w:t>
      </w:r>
      <w:bookmarkEnd w:id="19"/>
      <w:bookmarkEnd w:id="20"/>
      <w:r>
        <w:rPr>
          <w:rFonts w:ascii="等线 Light" w:hAnsi="等线 Light" w:eastAsia="等线 Light" w:cs="Times New Roman"/>
          <w:b w:val="0"/>
          <w:bCs w:val="0"/>
          <w:color w:val="auto"/>
          <w:sz w:val="24"/>
          <w:szCs w:val="24"/>
          <w:highlight w:val="none"/>
        </w:rPr>
        <w:tab/>
      </w:r>
    </w:p>
    <w:p>
      <w:pPr>
        <w:numPr>
          <w:ilvl w:val="0"/>
          <w:numId w:val="15"/>
        </w:numPr>
        <w:spacing w:line="360" w:lineRule="auto"/>
        <w:rPr>
          <w:rFonts w:ascii="宋体" w:hAnsi="宋体" w:eastAsia="宋体" w:cs="宋体"/>
          <w:b w:val="0"/>
          <w:bCs w:val="0"/>
          <w:color w:val="auto"/>
          <w:kern w:val="0"/>
          <w:szCs w:val="21"/>
          <w:highlight w:val="none"/>
        </w:rPr>
      </w:pPr>
      <w:r>
        <w:rPr>
          <w:rFonts w:ascii="宋体" w:hAnsi="宋体" w:eastAsia="宋体" w:cs="宋体"/>
          <w:b w:val="0"/>
          <w:bCs w:val="0"/>
          <w:color w:val="auto"/>
          <w:kern w:val="0"/>
          <w:szCs w:val="21"/>
          <w:highlight w:val="none"/>
        </w:rPr>
        <w:t>现代医院管理制度的方向是将先进的人力资源管理模型引入，故在系统中也需要体现先进的人力资源管理模型架构，</w:t>
      </w:r>
      <w:r>
        <w:rPr>
          <w:rFonts w:hint="eastAsia" w:ascii="宋体" w:hAnsi="宋体" w:eastAsia="宋体" w:cs="宋体"/>
          <w:b w:val="0"/>
          <w:bCs w:val="0"/>
          <w:color w:val="auto"/>
          <w:kern w:val="0"/>
          <w:szCs w:val="21"/>
          <w:highlight w:val="none"/>
        </w:rPr>
        <w:t>专家中心是体现人力资源管理三支柱模型的核心，它承担着制定人事管理政策、体系与流程标准的任务。</w:t>
      </w:r>
    </w:p>
    <w:p>
      <w:pPr>
        <w:numPr>
          <w:ilvl w:val="0"/>
          <w:numId w:val="15"/>
        </w:numPr>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专家中心需要包含对人员结构标准体系、招聘管理体系、考勤管理体系、薪资管理体系、绩效管理体系、档案管理体系、合同管理体系、职称评审体系等设置。</w:t>
      </w:r>
    </w:p>
    <w:p>
      <w:pPr>
        <w:numPr>
          <w:ilvl w:val="0"/>
          <w:numId w:val="15"/>
        </w:numPr>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所有的模块体系设置都有导航图，操作直观、简单。</w:t>
      </w:r>
    </w:p>
    <w:p>
      <w:pPr>
        <w:numPr>
          <w:ilvl w:val="0"/>
          <w:numId w:val="15"/>
        </w:numPr>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新建、修改、删除应用库，满足灵活构库的需要，可生成指标解释和各类信息采集表。</w:t>
      </w:r>
    </w:p>
    <w:p>
      <w:pPr>
        <w:numPr>
          <w:ilvl w:val="0"/>
          <w:numId w:val="15"/>
        </w:numPr>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可增加、修改、删除指标集及指标，可调整子集顺序、指标改名，满足个性化需求。</w:t>
      </w:r>
    </w:p>
    <w:p>
      <w:pPr>
        <w:numPr>
          <w:ilvl w:val="0"/>
          <w:numId w:val="15"/>
        </w:numPr>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可增加、修改、删除代码类及代码项。</w:t>
      </w:r>
    </w:p>
    <w:p>
      <w:pPr>
        <w:numPr>
          <w:ilvl w:val="0"/>
          <w:numId w:val="15"/>
        </w:numPr>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可对本系统的单位和部门进行编码，可对机构编码进行撤消、合并和划转，以及进行单位编码的发送、接收。</w:t>
      </w:r>
    </w:p>
    <w:p>
      <w:pPr>
        <w:numPr>
          <w:ilvl w:val="0"/>
          <w:numId w:val="15"/>
        </w:numPr>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可记录每个用户进出数据库的详细情况，可按用户名和功能查询日志，并可打印或输出日志文件。</w:t>
      </w:r>
    </w:p>
    <w:p>
      <w:pPr>
        <w:numPr>
          <w:ilvl w:val="0"/>
          <w:numId w:val="15"/>
        </w:numPr>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提供用户管理功能，用户权限分为“功能授权”、“人员库授权”和“指标授权”，提供分组授权，可按部门、工作性质等情况进行分组，可复制权限，允许用户修改自己的密码，支持高级授权，保证在数据安全与共享的前提下，责权分明，数据入口唯一。</w:t>
      </w:r>
    </w:p>
    <w:p>
      <w:pPr>
        <w:numPr>
          <w:ilvl w:val="0"/>
          <w:numId w:val="15"/>
        </w:numPr>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系统登录界面中含应政策法规、行业新闻、下载中心（如人事、劳资、人才等资料）、操作指南、在线客服等链接。</w:t>
      </w:r>
    </w:p>
    <w:p>
      <w:pPr>
        <w:spacing w:before="25" w:after="25" w:line="360" w:lineRule="auto"/>
        <w:ind w:firstLine="420"/>
        <w:jc w:val="left"/>
        <w:rPr>
          <w:rFonts w:ascii="宋体" w:hAnsi="宋体" w:eastAsia="宋体" w:cs="宋体"/>
          <w:b w:val="0"/>
          <w:bCs w:val="0"/>
          <w:color w:val="auto"/>
          <w:spacing w:val="10"/>
          <w:kern w:val="0"/>
          <w:sz w:val="24"/>
          <w:szCs w:val="21"/>
          <w:highlight w:val="none"/>
          <w:lang w:val="zh-CN"/>
        </w:rPr>
      </w:pPr>
      <w:r>
        <w:rPr>
          <w:rFonts w:hint="eastAsia" w:ascii="宋体" w:hAnsi="宋体" w:eastAsia="宋体" w:cs="宋体"/>
          <w:b w:val="0"/>
          <w:bCs w:val="0"/>
          <w:color w:val="auto"/>
          <w:spacing w:val="10"/>
          <w:kern w:val="0"/>
          <w:sz w:val="24"/>
          <w:szCs w:val="21"/>
          <w:highlight w:val="none"/>
          <w:lang w:val="zh-CN"/>
        </w:rPr>
        <w:t>系统每个业务模块都设有业务操作的功能导航键，同时所有的业务操作在一个界面实现。</w:t>
      </w:r>
    </w:p>
    <w:p>
      <w:pPr>
        <w:spacing w:before="100" w:beforeAutospacing="1" w:after="100" w:afterAutospacing="1"/>
        <w:ind w:left="420" w:hanging="420"/>
        <w:jc w:val="left"/>
        <w:outlineLvl w:val="2"/>
        <w:rPr>
          <w:rFonts w:ascii="宋体" w:hAnsi="宋体" w:eastAsia="宋体" w:cs="Times New Roman"/>
          <w:b w:val="0"/>
          <w:bCs w:val="0"/>
          <w:color w:val="auto"/>
          <w:kern w:val="0"/>
          <w:sz w:val="24"/>
          <w:szCs w:val="24"/>
          <w:highlight w:val="none"/>
        </w:rPr>
      </w:pPr>
      <w:bookmarkStart w:id="21" w:name="_Toc11565"/>
      <w:r>
        <w:rPr>
          <w:rFonts w:ascii="宋体" w:hAnsi="宋体" w:eastAsia="宋体" w:cs="宋体"/>
          <w:b w:val="0"/>
          <w:bCs w:val="0"/>
          <w:color w:val="auto"/>
          <w:kern w:val="0"/>
          <w:sz w:val="24"/>
          <w:szCs w:val="24"/>
          <w:highlight w:val="none"/>
          <w:lang w:bidi="ar"/>
        </w:rPr>
        <w:t>3.11</w:t>
      </w:r>
      <w:r>
        <w:rPr>
          <w:rFonts w:ascii="宋体" w:hAnsi="宋体" w:eastAsia="宋体" w:cs="Times New Roman"/>
          <w:b w:val="0"/>
          <w:bCs w:val="0"/>
          <w:color w:val="auto"/>
          <w:kern w:val="0"/>
          <w:sz w:val="24"/>
          <w:szCs w:val="24"/>
          <w:highlight w:val="none"/>
        </w:rPr>
        <w:t>接口、集成要求</w:t>
      </w:r>
      <w:bookmarkEnd w:id="21"/>
    </w:p>
    <w:p>
      <w:pPr>
        <w:numPr>
          <w:ilvl w:val="0"/>
          <w:numId w:val="16"/>
        </w:numPr>
        <w:spacing w:line="360" w:lineRule="auto"/>
        <w:rPr>
          <w:rFonts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支持与医院财务系统、O</w:t>
      </w:r>
      <w:r>
        <w:rPr>
          <w:rFonts w:ascii="宋体" w:hAnsi="宋体" w:eastAsia="宋体" w:cs="宋体"/>
          <w:b w:val="0"/>
          <w:bCs w:val="0"/>
          <w:color w:val="auto"/>
          <w:kern w:val="0"/>
          <w:szCs w:val="21"/>
          <w:highlight w:val="none"/>
        </w:rPr>
        <w:t>A</w:t>
      </w:r>
      <w:r>
        <w:rPr>
          <w:rFonts w:hint="eastAsia" w:ascii="宋体" w:hAnsi="宋体" w:eastAsia="宋体" w:cs="宋体"/>
          <w:b w:val="0"/>
          <w:bCs w:val="0"/>
          <w:color w:val="auto"/>
          <w:kern w:val="0"/>
          <w:szCs w:val="21"/>
          <w:highlight w:val="none"/>
        </w:rPr>
        <w:t>、H</w:t>
      </w:r>
      <w:r>
        <w:rPr>
          <w:rFonts w:ascii="宋体" w:hAnsi="宋体" w:eastAsia="宋体" w:cs="宋体"/>
          <w:b w:val="0"/>
          <w:bCs w:val="0"/>
          <w:color w:val="auto"/>
          <w:kern w:val="0"/>
          <w:szCs w:val="21"/>
          <w:highlight w:val="none"/>
        </w:rPr>
        <w:t>IS</w:t>
      </w:r>
      <w:r>
        <w:rPr>
          <w:rFonts w:hint="eastAsia" w:ascii="宋体" w:hAnsi="宋体" w:eastAsia="宋体" w:cs="宋体"/>
          <w:b w:val="0"/>
          <w:bCs w:val="0"/>
          <w:color w:val="auto"/>
          <w:kern w:val="0"/>
          <w:szCs w:val="21"/>
          <w:highlight w:val="none"/>
        </w:rPr>
        <w:t>、科研、H</w:t>
      </w:r>
      <w:r>
        <w:rPr>
          <w:rFonts w:ascii="宋体" w:hAnsi="宋体" w:eastAsia="宋体" w:cs="宋体"/>
          <w:b w:val="0"/>
          <w:bCs w:val="0"/>
          <w:color w:val="auto"/>
          <w:kern w:val="0"/>
          <w:szCs w:val="21"/>
          <w:highlight w:val="none"/>
        </w:rPr>
        <w:t>RP</w:t>
      </w:r>
      <w:r>
        <w:rPr>
          <w:rFonts w:hint="eastAsia" w:ascii="宋体" w:hAnsi="宋体" w:eastAsia="宋体" w:cs="宋体"/>
          <w:b w:val="0"/>
          <w:bCs w:val="0"/>
          <w:color w:val="auto"/>
          <w:kern w:val="0"/>
          <w:szCs w:val="21"/>
          <w:highlight w:val="none"/>
        </w:rPr>
        <w:t>等系统实现互联互通，形成全景人力数据。</w:t>
      </w:r>
    </w:p>
    <w:p>
      <w:pPr>
        <w:numPr>
          <w:ilvl w:val="0"/>
          <w:numId w:val="16"/>
        </w:numPr>
        <w:spacing w:line="360" w:lineRule="auto"/>
        <w:rPr>
          <w:rFonts w:ascii="宋体" w:hAnsi="宋体" w:eastAsia="宋体" w:cs="宋体"/>
          <w:b w:val="0"/>
          <w:bCs w:val="0"/>
          <w:color w:val="auto"/>
          <w:szCs w:val="21"/>
          <w:highlight w:val="none"/>
        </w:rPr>
      </w:pPr>
      <w:r>
        <w:rPr>
          <w:rFonts w:hint="eastAsia" w:ascii="宋体" w:hAnsi="宋体" w:eastAsia="宋体" w:cs="宋体"/>
          <w:b w:val="0"/>
          <w:bCs w:val="0"/>
          <w:color w:val="auto"/>
          <w:kern w:val="0"/>
          <w:szCs w:val="21"/>
          <w:highlight w:val="none"/>
        </w:rPr>
        <w:t>提供人力资源管理系统的数据接口，满足与医院其他系统的对接。</w:t>
      </w:r>
    </w:p>
    <w:p>
      <w:pPr>
        <w:rPr>
          <w:b w:val="0"/>
          <w:bCs w:val="0"/>
          <w:color w:val="auto"/>
          <w:highlight w:val="none"/>
        </w:rPr>
      </w:pPr>
    </w:p>
    <w:p>
      <w:pPr>
        <w:rPr>
          <w:b w:val="0"/>
          <w:bCs w:val="0"/>
          <w:color w:val="auto"/>
          <w:highlight w:val="none"/>
        </w:rPr>
      </w:pPr>
    </w:p>
    <w:p>
      <w:pPr>
        <w:rPr>
          <w:b w:val="0"/>
          <w:bCs w:val="0"/>
          <w:color w:val="auto"/>
          <w:highlight w:val="none"/>
        </w:rPr>
      </w:pPr>
    </w:p>
    <w:p>
      <w:pPr>
        <w:rPr>
          <w:b w:val="0"/>
          <w:bCs w:val="0"/>
          <w:color w:val="auto"/>
          <w:highlight w:val="none"/>
        </w:rPr>
      </w:pPr>
    </w:p>
    <w:p>
      <w:pPr>
        <w:spacing w:line="360" w:lineRule="auto"/>
        <w:ind w:firstLine="560"/>
        <w:rPr>
          <w:rFonts w:ascii="宋体" w:hAnsi="宋体"/>
          <w:b w:val="0"/>
          <w:bCs w:val="0"/>
          <w:color w:val="auto"/>
          <w:highlight w:val="none"/>
        </w:rPr>
      </w:pPr>
      <w:r>
        <w:rPr>
          <w:rFonts w:ascii="宋体" w:hAnsi="宋体"/>
          <w:b w:val="0"/>
          <w:bCs w:val="0"/>
          <w:color w:val="auto"/>
          <w:highlight w:val="none"/>
        </w:rPr>
        <w:t>1.</w:t>
      </w:r>
      <w:r>
        <w:rPr>
          <w:rFonts w:ascii="宋体" w:hAnsi="宋体"/>
          <w:b w:val="0"/>
          <w:bCs w:val="0"/>
          <w:color w:val="auto"/>
          <w:highlight w:val="none"/>
        </w:rPr>
        <w:tab/>
      </w:r>
      <w:r>
        <w:rPr>
          <w:rFonts w:ascii="宋体" w:hAnsi="宋体"/>
          <w:b w:val="0"/>
          <w:bCs w:val="0"/>
          <w:color w:val="auto"/>
          <w:highlight w:val="none"/>
        </w:rPr>
        <w:t>项目基本要求</w:t>
      </w:r>
    </w:p>
    <w:p>
      <w:pPr>
        <w:spacing w:line="360" w:lineRule="auto"/>
        <w:ind w:firstLine="560"/>
        <w:rPr>
          <w:rFonts w:ascii="宋体" w:hAnsi="宋体"/>
          <w:b w:val="0"/>
          <w:bCs w:val="0"/>
          <w:color w:val="auto"/>
          <w:highlight w:val="none"/>
        </w:rPr>
      </w:pPr>
      <w:r>
        <w:rPr>
          <w:rFonts w:ascii="宋体" w:hAnsi="宋体"/>
          <w:b w:val="0"/>
          <w:bCs w:val="0"/>
          <w:color w:val="auto"/>
          <w:highlight w:val="none"/>
        </w:rPr>
        <w:t>1.1 投标人提供产品应满足如下标准：</w:t>
      </w:r>
    </w:p>
    <w:p>
      <w:pPr>
        <w:spacing w:line="360" w:lineRule="auto"/>
        <w:ind w:firstLine="560"/>
        <w:rPr>
          <w:rFonts w:ascii="宋体" w:hAnsi="宋体"/>
          <w:b w:val="0"/>
          <w:bCs w:val="0"/>
          <w:color w:val="auto"/>
          <w:highlight w:val="none"/>
        </w:rPr>
      </w:pPr>
      <w:r>
        <w:rPr>
          <w:rFonts w:hint="eastAsia" w:ascii="宋体" w:hAnsi="宋体"/>
          <w:b w:val="0"/>
          <w:bCs w:val="0"/>
          <w:color w:val="auto"/>
          <w:highlight w:val="none"/>
        </w:rPr>
        <w:t>（</w:t>
      </w:r>
      <w:r>
        <w:rPr>
          <w:rFonts w:ascii="宋体" w:hAnsi="宋体"/>
          <w:b w:val="0"/>
          <w:bCs w:val="0"/>
          <w:color w:val="auto"/>
          <w:highlight w:val="none"/>
        </w:rPr>
        <w:t>1）《电子病历系统功能应用水平分级评价方法及标准》六级以上</w:t>
      </w:r>
    </w:p>
    <w:p>
      <w:pPr>
        <w:spacing w:line="360" w:lineRule="auto"/>
        <w:ind w:firstLine="560"/>
        <w:rPr>
          <w:rFonts w:ascii="宋体" w:hAnsi="宋体"/>
          <w:b w:val="0"/>
          <w:bCs w:val="0"/>
          <w:color w:val="auto"/>
          <w:highlight w:val="none"/>
        </w:rPr>
      </w:pPr>
      <w:r>
        <w:rPr>
          <w:rFonts w:hint="eastAsia" w:ascii="宋体" w:hAnsi="宋体"/>
          <w:b w:val="0"/>
          <w:bCs w:val="0"/>
          <w:color w:val="auto"/>
          <w:highlight w:val="none"/>
        </w:rPr>
        <w:t>（</w:t>
      </w:r>
      <w:r>
        <w:rPr>
          <w:rFonts w:ascii="宋体" w:hAnsi="宋体"/>
          <w:b w:val="0"/>
          <w:bCs w:val="0"/>
          <w:color w:val="auto"/>
          <w:highlight w:val="none"/>
        </w:rPr>
        <w:t>2）《医院信息互联互通标准化成熟度测评方案》四级甲等以上</w:t>
      </w:r>
    </w:p>
    <w:p>
      <w:pPr>
        <w:spacing w:line="360" w:lineRule="auto"/>
        <w:ind w:firstLine="560"/>
        <w:rPr>
          <w:rFonts w:ascii="宋体" w:hAnsi="宋体"/>
          <w:b w:val="0"/>
          <w:bCs w:val="0"/>
          <w:color w:val="auto"/>
          <w:highlight w:val="none"/>
        </w:rPr>
      </w:pPr>
      <w:r>
        <w:rPr>
          <w:rFonts w:hint="eastAsia" w:ascii="宋体" w:hAnsi="宋体"/>
          <w:b w:val="0"/>
          <w:bCs w:val="0"/>
          <w:color w:val="auto"/>
          <w:highlight w:val="none"/>
        </w:rPr>
        <w:t>（</w:t>
      </w:r>
      <w:r>
        <w:rPr>
          <w:rFonts w:ascii="宋体" w:hAnsi="宋体"/>
          <w:b w:val="0"/>
          <w:bCs w:val="0"/>
          <w:color w:val="auto"/>
          <w:highlight w:val="none"/>
        </w:rPr>
        <w:t>3）《医院智慧服务分级评估标准体系》三级以上</w:t>
      </w:r>
    </w:p>
    <w:p>
      <w:pPr>
        <w:spacing w:line="360" w:lineRule="auto"/>
        <w:ind w:firstLine="560"/>
        <w:rPr>
          <w:rFonts w:ascii="宋体" w:hAnsi="宋体"/>
          <w:b w:val="0"/>
          <w:bCs w:val="0"/>
          <w:color w:val="auto"/>
          <w:highlight w:val="none"/>
        </w:rPr>
      </w:pPr>
      <w:r>
        <w:rPr>
          <w:rFonts w:hint="eastAsia" w:ascii="宋体" w:hAnsi="宋体"/>
          <w:b w:val="0"/>
          <w:bCs w:val="0"/>
          <w:color w:val="auto"/>
          <w:highlight w:val="none"/>
        </w:rPr>
        <w:t>（</w:t>
      </w:r>
      <w:r>
        <w:rPr>
          <w:rFonts w:ascii="宋体" w:hAnsi="宋体"/>
          <w:b w:val="0"/>
          <w:bCs w:val="0"/>
          <w:color w:val="auto"/>
          <w:highlight w:val="none"/>
        </w:rPr>
        <w:t>4）《医院智慧管理分级评估标准体系》三级以上</w:t>
      </w:r>
    </w:p>
    <w:p>
      <w:pPr>
        <w:spacing w:line="360" w:lineRule="auto"/>
        <w:ind w:firstLine="560"/>
        <w:rPr>
          <w:rFonts w:ascii="宋体" w:hAnsi="宋体"/>
          <w:b w:val="0"/>
          <w:bCs w:val="0"/>
          <w:color w:val="auto"/>
          <w:highlight w:val="none"/>
        </w:rPr>
      </w:pPr>
      <w:r>
        <w:rPr>
          <w:rFonts w:hint="eastAsia" w:ascii="宋体" w:hAnsi="宋体"/>
          <w:b w:val="0"/>
          <w:bCs w:val="0"/>
          <w:color w:val="auto"/>
          <w:highlight w:val="none"/>
        </w:rPr>
        <w:t>（</w:t>
      </w:r>
      <w:r>
        <w:rPr>
          <w:rFonts w:ascii="宋体" w:hAnsi="宋体"/>
          <w:b w:val="0"/>
          <w:bCs w:val="0"/>
          <w:color w:val="auto"/>
          <w:highlight w:val="none"/>
        </w:rPr>
        <w:t>5）《信息安全技术网络安全等级保护基本要求》三级</w:t>
      </w:r>
    </w:p>
    <w:p>
      <w:pPr>
        <w:spacing w:line="360" w:lineRule="auto"/>
        <w:ind w:firstLine="560"/>
        <w:rPr>
          <w:rFonts w:ascii="宋体" w:hAnsi="宋体"/>
          <w:b w:val="0"/>
          <w:bCs w:val="0"/>
          <w:color w:val="auto"/>
          <w:highlight w:val="none"/>
        </w:rPr>
      </w:pPr>
      <w:r>
        <w:rPr>
          <w:rFonts w:hint="eastAsia" w:ascii="宋体" w:hAnsi="宋体"/>
          <w:b w:val="0"/>
          <w:bCs w:val="0"/>
          <w:color w:val="auto"/>
          <w:highlight w:val="none"/>
        </w:rPr>
        <w:t>（</w:t>
      </w:r>
      <w:r>
        <w:rPr>
          <w:rFonts w:ascii="宋体" w:hAnsi="宋体"/>
          <w:b w:val="0"/>
          <w:bCs w:val="0"/>
          <w:color w:val="auto"/>
          <w:highlight w:val="none"/>
        </w:rPr>
        <w:t>6）《医院信息系统基本功能规范》</w:t>
      </w:r>
    </w:p>
    <w:p>
      <w:pPr>
        <w:spacing w:line="360" w:lineRule="auto"/>
        <w:ind w:firstLine="560"/>
        <w:rPr>
          <w:rFonts w:ascii="宋体" w:hAnsi="宋体"/>
          <w:b w:val="0"/>
          <w:bCs w:val="0"/>
          <w:color w:val="auto"/>
          <w:highlight w:val="none"/>
        </w:rPr>
      </w:pPr>
      <w:r>
        <w:rPr>
          <w:rFonts w:hint="eastAsia" w:ascii="宋体" w:hAnsi="宋体"/>
          <w:b w:val="0"/>
          <w:bCs w:val="0"/>
          <w:color w:val="auto"/>
          <w:highlight w:val="none"/>
        </w:rPr>
        <w:t>（</w:t>
      </w:r>
      <w:r>
        <w:rPr>
          <w:rFonts w:ascii="宋体" w:hAnsi="宋体"/>
          <w:b w:val="0"/>
          <w:bCs w:val="0"/>
          <w:color w:val="auto"/>
          <w:highlight w:val="none"/>
        </w:rPr>
        <w:t>7）《中医医院信息系统基本功能规范》</w:t>
      </w:r>
    </w:p>
    <w:p>
      <w:pPr>
        <w:spacing w:line="360" w:lineRule="auto"/>
        <w:ind w:firstLine="560"/>
        <w:rPr>
          <w:rFonts w:ascii="宋体" w:hAnsi="宋体"/>
          <w:b w:val="0"/>
          <w:bCs w:val="0"/>
          <w:color w:val="auto"/>
          <w:highlight w:val="none"/>
        </w:rPr>
      </w:pPr>
      <w:r>
        <w:rPr>
          <w:rFonts w:hint="eastAsia" w:ascii="宋体" w:hAnsi="宋体"/>
          <w:b w:val="0"/>
          <w:bCs w:val="0"/>
          <w:color w:val="auto"/>
          <w:highlight w:val="none"/>
        </w:rPr>
        <w:t>（</w:t>
      </w:r>
      <w:r>
        <w:rPr>
          <w:rFonts w:ascii="宋体" w:hAnsi="宋体"/>
          <w:b w:val="0"/>
          <w:bCs w:val="0"/>
          <w:color w:val="auto"/>
          <w:highlight w:val="none"/>
        </w:rPr>
        <w:t>8）《全国医院信息化建设标准与规范》</w:t>
      </w:r>
    </w:p>
    <w:p>
      <w:pPr>
        <w:spacing w:line="360" w:lineRule="auto"/>
        <w:ind w:firstLine="560"/>
        <w:rPr>
          <w:rFonts w:ascii="宋体" w:hAnsi="宋体"/>
          <w:b w:val="0"/>
          <w:bCs w:val="0"/>
          <w:color w:val="auto"/>
          <w:highlight w:val="none"/>
        </w:rPr>
      </w:pPr>
      <w:r>
        <w:rPr>
          <w:rFonts w:hint="eastAsia" w:ascii="宋体" w:hAnsi="宋体"/>
          <w:b w:val="0"/>
          <w:bCs w:val="0"/>
          <w:color w:val="auto"/>
          <w:highlight w:val="none"/>
        </w:rPr>
        <w:t>（</w:t>
      </w:r>
      <w:r>
        <w:rPr>
          <w:rFonts w:ascii="宋体" w:hAnsi="宋体"/>
          <w:b w:val="0"/>
          <w:bCs w:val="0"/>
          <w:color w:val="auto"/>
          <w:highlight w:val="none"/>
        </w:rPr>
        <w:t>9）《卫生系统电子认证服务规范》</w:t>
      </w:r>
    </w:p>
    <w:p>
      <w:pPr>
        <w:spacing w:line="360" w:lineRule="auto"/>
        <w:ind w:firstLine="560"/>
        <w:rPr>
          <w:rFonts w:ascii="宋体" w:hAnsi="宋体"/>
          <w:b w:val="0"/>
          <w:bCs w:val="0"/>
          <w:color w:val="auto"/>
          <w:highlight w:val="none"/>
        </w:rPr>
      </w:pPr>
      <w:r>
        <w:rPr>
          <w:rFonts w:hint="eastAsia" w:ascii="宋体" w:hAnsi="宋体"/>
          <w:b w:val="0"/>
          <w:bCs w:val="0"/>
          <w:color w:val="auto"/>
          <w:highlight w:val="none"/>
        </w:rPr>
        <w:t>（</w:t>
      </w:r>
      <w:r>
        <w:rPr>
          <w:rFonts w:ascii="宋体" w:hAnsi="宋体"/>
          <w:b w:val="0"/>
          <w:bCs w:val="0"/>
          <w:color w:val="auto"/>
          <w:highlight w:val="none"/>
        </w:rPr>
        <w:t>10）《三级中医医院评审标准》</w:t>
      </w:r>
    </w:p>
    <w:p>
      <w:pPr>
        <w:spacing w:line="360" w:lineRule="auto"/>
        <w:ind w:firstLine="560"/>
        <w:rPr>
          <w:rFonts w:ascii="宋体" w:hAnsi="宋体"/>
          <w:b w:val="0"/>
          <w:bCs w:val="0"/>
          <w:color w:val="auto"/>
          <w:highlight w:val="none"/>
        </w:rPr>
      </w:pPr>
      <w:r>
        <w:rPr>
          <w:rFonts w:hint="eastAsia" w:ascii="宋体" w:hAnsi="宋体"/>
          <w:b w:val="0"/>
          <w:bCs w:val="0"/>
          <w:color w:val="auto"/>
          <w:highlight w:val="none"/>
        </w:rPr>
        <w:t>（</w:t>
      </w:r>
      <w:r>
        <w:rPr>
          <w:rFonts w:ascii="宋体" w:hAnsi="宋体"/>
          <w:b w:val="0"/>
          <w:bCs w:val="0"/>
          <w:color w:val="auto"/>
          <w:highlight w:val="none"/>
        </w:rPr>
        <w:t>11）《信息安全技术个人信息安全规范》</w:t>
      </w:r>
    </w:p>
    <w:p>
      <w:pPr>
        <w:ind w:firstLine="560"/>
        <w:rPr>
          <w:b w:val="0"/>
          <w:bCs w:val="0"/>
          <w:color w:val="auto"/>
          <w:highlight w:val="none"/>
        </w:rPr>
      </w:pPr>
      <w:r>
        <w:rPr>
          <w:rFonts w:hint="eastAsia" w:ascii="宋体" w:hAnsi="宋体"/>
          <w:b w:val="0"/>
          <w:bCs w:val="0"/>
          <w:color w:val="auto"/>
          <w:highlight w:val="none"/>
        </w:rPr>
        <w:t>（</w:t>
      </w:r>
      <w:r>
        <w:rPr>
          <w:rFonts w:ascii="宋体" w:hAnsi="宋体"/>
          <w:b w:val="0"/>
          <w:bCs w:val="0"/>
          <w:color w:val="auto"/>
          <w:highlight w:val="none"/>
        </w:rPr>
        <w:t>12）《</w:t>
      </w:r>
      <w:r>
        <w:rPr>
          <w:b w:val="0"/>
          <w:bCs w:val="0"/>
          <w:color w:val="auto"/>
          <w:highlight w:val="none"/>
        </w:rPr>
        <w:t>个人信息保护法</w:t>
      </w:r>
      <w:r>
        <w:rPr>
          <w:rFonts w:ascii="宋体" w:hAnsi="宋体"/>
          <w:b w:val="0"/>
          <w:bCs w:val="0"/>
          <w:color w:val="auto"/>
          <w:highlight w:val="none"/>
        </w:rPr>
        <w:t>》</w:t>
      </w:r>
    </w:p>
    <w:p>
      <w:pPr>
        <w:ind w:firstLine="560"/>
        <w:rPr>
          <w:b w:val="0"/>
          <w:bCs w:val="0"/>
          <w:color w:val="auto"/>
          <w:highlight w:val="none"/>
        </w:rPr>
      </w:pPr>
      <w:r>
        <w:rPr>
          <w:rFonts w:hint="eastAsia" w:ascii="宋体" w:hAnsi="宋体"/>
          <w:b w:val="0"/>
          <w:bCs w:val="0"/>
          <w:color w:val="auto"/>
          <w:highlight w:val="none"/>
        </w:rPr>
        <w:t>（</w:t>
      </w:r>
      <w:r>
        <w:rPr>
          <w:rFonts w:ascii="宋体" w:hAnsi="宋体"/>
          <w:b w:val="0"/>
          <w:bCs w:val="0"/>
          <w:color w:val="auto"/>
          <w:highlight w:val="none"/>
        </w:rPr>
        <w:t>13）《</w:t>
      </w:r>
      <w:r>
        <w:rPr>
          <w:b w:val="0"/>
          <w:bCs w:val="0"/>
          <w:color w:val="auto"/>
          <w:highlight w:val="none"/>
        </w:rPr>
        <w:t>数据安全法</w:t>
      </w:r>
      <w:r>
        <w:rPr>
          <w:rFonts w:ascii="宋体" w:hAnsi="宋体"/>
          <w:b w:val="0"/>
          <w:bCs w:val="0"/>
          <w:color w:val="auto"/>
          <w:highlight w:val="none"/>
        </w:rPr>
        <w:t>》</w:t>
      </w:r>
    </w:p>
    <w:p>
      <w:pPr>
        <w:ind w:firstLine="560"/>
        <w:rPr>
          <w:b w:val="0"/>
          <w:bCs w:val="0"/>
          <w:color w:val="auto"/>
          <w:highlight w:val="none"/>
        </w:rPr>
      </w:pPr>
      <w:r>
        <w:rPr>
          <w:rFonts w:hint="eastAsia" w:ascii="宋体" w:hAnsi="宋体"/>
          <w:b w:val="0"/>
          <w:bCs w:val="0"/>
          <w:color w:val="auto"/>
          <w:highlight w:val="none"/>
        </w:rPr>
        <w:t>（</w:t>
      </w:r>
      <w:r>
        <w:rPr>
          <w:rFonts w:ascii="宋体" w:hAnsi="宋体"/>
          <w:b w:val="0"/>
          <w:bCs w:val="0"/>
          <w:color w:val="auto"/>
          <w:highlight w:val="none"/>
        </w:rPr>
        <w:t>14）《</w:t>
      </w:r>
      <w:r>
        <w:rPr>
          <w:b w:val="0"/>
          <w:bCs w:val="0"/>
          <w:color w:val="auto"/>
          <w:highlight w:val="none"/>
        </w:rPr>
        <w:t>信息安全技术</w:t>
      </w:r>
      <w:r>
        <w:rPr>
          <w:rFonts w:hint="eastAsia"/>
          <w:b w:val="0"/>
          <w:bCs w:val="0"/>
          <w:color w:val="auto"/>
          <w:highlight w:val="none"/>
        </w:rPr>
        <w:t xml:space="preserve"> </w:t>
      </w:r>
      <w:r>
        <w:rPr>
          <w:b w:val="0"/>
          <w:bCs w:val="0"/>
          <w:color w:val="auto"/>
          <w:highlight w:val="none"/>
        </w:rPr>
        <w:t>网络安全等级保护基本要求</w:t>
      </w:r>
      <w:r>
        <w:rPr>
          <w:rFonts w:ascii="宋体" w:hAnsi="宋体"/>
          <w:b w:val="0"/>
          <w:bCs w:val="0"/>
          <w:color w:val="auto"/>
          <w:highlight w:val="none"/>
        </w:rPr>
        <w:t>》</w:t>
      </w:r>
    </w:p>
    <w:p>
      <w:pPr>
        <w:ind w:firstLine="560"/>
        <w:rPr>
          <w:b w:val="0"/>
          <w:bCs w:val="0"/>
          <w:color w:val="auto"/>
          <w:highlight w:val="none"/>
        </w:rPr>
      </w:pPr>
      <w:r>
        <w:rPr>
          <w:rFonts w:hint="eastAsia" w:ascii="宋体" w:hAnsi="宋体"/>
          <w:b w:val="0"/>
          <w:bCs w:val="0"/>
          <w:color w:val="auto"/>
          <w:highlight w:val="none"/>
        </w:rPr>
        <w:t>（</w:t>
      </w:r>
      <w:r>
        <w:rPr>
          <w:rFonts w:ascii="宋体" w:hAnsi="宋体"/>
          <w:b w:val="0"/>
          <w:bCs w:val="0"/>
          <w:color w:val="auto"/>
          <w:highlight w:val="none"/>
        </w:rPr>
        <w:t>15）《</w:t>
      </w:r>
      <w:r>
        <w:rPr>
          <w:b w:val="0"/>
          <w:bCs w:val="0"/>
          <w:color w:val="auto"/>
          <w:highlight w:val="none"/>
        </w:rPr>
        <w:t>信息安全技术 个人信息去标识化指南</w:t>
      </w:r>
      <w:r>
        <w:rPr>
          <w:rFonts w:ascii="宋体" w:hAnsi="宋体"/>
          <w:b w:val="0"/>
          <w:bCs w:val="0"/>
          <w:color w:val="auto"/>
          <w:highlight w:val="none"/>
        </w:rPr>
        <w:t>》</w:t>
      </w:r>
    </w:p>
    <w:p>
      <w:pPr>
        <w:ind w:firstLine="560"/>
        <w:rPr>
          <w:b w:val="0"/>
          <w:bCs w:val="0"/>
          <w:color w:val="auto"/>
          <w:highlight w:val="none"/>
        </w:rPr>
      </w:pPr>
      <w:r>
        <w:rPr>
          <w:rFonts w:hint="eastAsia" w:ascii="宋体" w:hAnsi="宋体"/>
          <w:b w:val="0"/>
          <w:bCs w:val="0"/>
          <w:color w:val="auto"/>
          <w:highlight w:val="none"/>
        </w:rPr>
        <w:t>（</w:t>
      </w:r>
      <w:r>
        <w:rPr>
          <w:rFonts w:ascii="宋体" w:hAnsi="宋体"/>
          <w:b w:val="0"/>
          <w:bCs w:val="0"/>
          <w:color w:val="auto"/>
          <w:highlight w:val="none"/>
        </w:rPr>
        <w:t>16）《</w:t>
      </w:r>
      <w:r>
        <w:rPr>
          <w:b w:val="0"/>
          <w:bCs w:val="0"/>
          <w:color w:val="auto"/>
          <w:highlight w:val="none"/>
        </w:rPr>
        <w:t>信息安全技术 健康医疗数据安全指南</w:t>
      </w:r>
      <w:r>
        <w:rPr>
          <w:rFonts w:ascii="宋体" w:hAnsi="宋体"/>
          <w:b w:val="0"/>
          <w:bCs w:val="0"/>
          <w:color w:val="auto"/>
          <w:highlight w:val="none"/>
        </w:rPr>
        <w:t>》</w:t>
      </w:r>
    </w:p>
    <w:p>
      <w:pPr>
        <w:ind w:firstLine="560"/>
        <w:rPr>
          <w:rFonts w:cs="仿宋_GB2312"/>
          <w:b w:val="0"/>
          <w:bCs w:val="0"/>
          <w:color w:val="auto"/>
          <w:highlight w:val="none"/>
        </w:rPr>
      </w:pPr>
      <w:r>
        <w:rPr>
          <w:rFonts w:hint="eastAsia" w:ascii="宋体" w:hAnsi="宋体"/>
          <w:b w:val="0"/>
          <w:bCs w:val="0"/>
          <w:color w:val="auto"/>
          <w:highlight w:val="none"/>
        </w:rPr>
        <w:t>（</w:t>
      </w:r>
      <w:r>
        <w:rPr>
          <w:rFonts w:ascii="宋体" w:hAnsi="宋体"/>
          <w:b w:val="0"/>
          <w:bCs w:val="0"/>
          <w:color w:val="auto"/>
          <w:highlight w:val="none"/>
        </w:rPr>
        <w:t>17）《</w:t>
      </w:r>
      <w:r>
        <w:rPr>
          <w:rFonts w:hint="eastAsia" w:cs="仿宋_GB2312"/>
          <w:b w:val="0"/>
          <w:bCs w:val="0"/>
          <w:color w:val="auto"/>
          <w:highlight w:val="none"/>
        </w:rPr>
        <w:t>互联网诊疗管理办法（试行）</w:t>
      </w:r>
      <w:r>
        <w:rPr>
          <w:rFonts w:ascii="宋体" w:hAnsi="宋体"/>
          <w:b w:val="0"/>
          <w:bCs w:val="0"/>
          <w:color w:val="auto"/>
          <w:highlight w:val="none"/>
        </w:rPr>
        <w:t>》</w:t>
      </w:r>
    </w:p>
    <w:p>
      <w:pPr>
        <w:ind w:firstLine="560"/>
        <w:rPr>
          <w:rFonts w:cs="仿宋_GB2312"/>
          <w:b w:val="0"/>
          <w:bCs w:val="0"/>
          <w:color w:val="auto"/>
          <w:highlight w:val="none"/>
        </w:rPr>
      </w:pPr>
      <w:r>
        <w:rPr>
          <w:rFonts w:hint="eastAsia" w:ascii="宋体" w:hAnsi="宋体"/>
          <w:b w:val="0"/>
          <w:bCs w:val="0"/>
          <w:color w:val="auto"/>
          <w:highlight w:val="none"/>
        </w:rPr>
        <w:t>（</w:t>
      </w:r>
      <w:r>
        <w:rPr>
          <w:rFonts w:ascii="宋体" w:hAnsi="宋体"/>
          <w:b w:val="0"/>
          <w:bCs w:val="0"/>
          <w:color w:val="auto"/>
          <w:highlight w:val="none"/>
        </w:rPr>
        <w:t>18）《</w:t>
      </w:r>
      <w:r>
        <w:rPr>
          <w:rFonts w:hint="eastAsia" w:cs="仿宋_GB2312"/>
          <w:b w:val="0"/>
          <w:bCs w:val="0"/>
          <w:color w:val="auto"/>
          <w:highlight w:val="none"/>
        </w:rPr>
        <w:t>互联网医院管理办法（试行）</w:t>
      </w:r>
      <w:r>
        <w:rPr>
          <w:rFonts w:ascii="宋体" w:hAnsi="宋体"/>
          <w:b w:val="0"/>
          <w:bCs w:val="0"/>
          <w:color w:val="auto"/>
          <w:highlight w:val="none"/>
        </w:rPr>
        <w:t>》</w:t>
      </w:r>
    </w:p>
    <w:p>
      <w:pPr>
        <w:ind w:firstLine="560"/>
        <w:rPr>
          <w:rFonts w:cs="仿宋_GB2312"/>
          <w:b w:val="0"/>
          <w:bCs w:val="0"/>
          <w:color w:val="auto"/>
          <w:highlight w:val="none"/>
        </w:rPr>
      </w:pPr>
      <w:r>
        <w:rPr>
          <w:rFonts w:hint="eastAsia" w:ascii="宋体" w:hAnsi="宋体"/>
          <w:b w:val="0"/>
          <w:bCs w:val="0"/>
          <w:color w:val="auto"/>
          <w:highlight w:val="none"/>
        </w:rPr>
        <w:t>（</w:t>
      </w:r>
      <w:r>
        <w:rPr>
          <w:rFonts w:ascii="宋体" w:hAnsi="宋体"/>
          <w:b w:val="0"/>
          <w:bCs w:val="0"/>
          <w:color w:val="auto"/>
          <w:highlight w:val="none"/>
        </w:rPr>
        <w:t>19）《</w:t>
      </w:r>
      <w:r>
        <w:rPr>
          <w:rFonts w:hint="eastAsia" w:cs="仿宋_GB2312"/>
          <w:b w:val="0"/>
          <w:bCs w:val="0"/>
          <w:color w:val="auto"/>
          <w:highlight w:val="none"/>
        </w:rPr>
        <w:t>远程医疗服务管理规范（试行）</w:t>
      </w:r>
      <w:r>
        <w:rPr>
          <w:rFonts w:ascii="宋体" w:hAnsi="宋体"/>
          <w:b w:val="0"/>
          <w:bCs w:val="0"/>
          <w:color w:val="auto"/>
          <w:highlight w:val="none"/>
        </w:rPr>
        <w:t>》</w:t>
      </w:r>
    </w:p>
    <w:p>
      <w:pPr>
        <w:ind w:firstLine="560"/>
        <w:rPr>
          <w:rFonts w:cs="仿宋_GB2312"/>
          <w:b w:val="0"/>
          <w:bCs w:val="0"/>
          <w:color w:val="auto"/>
          <w:highlight w:val="none"/>
        </w:rPr>
      </w:pPr>
      <w:r>
        <w:rPr>
          <w:rFonts w:hint="eastAsia" w:ascii="宋体" w:hAnsi="宋体"/>
          <w:b w:val="0"/>
          <w:bCs w:val="0"/>
          <w:color w:val="auto"/>
          <w:highlight w:val="none"/>
        </w:rPr>
        <w:t>（</w:t>
      </w:r>
      <w:r>
        <w:rPr>
          <w:rFonts w:ascii="宋体" w:hAnsi="宋体"/>
          <w:b w:val="0"/>
          <w:bCs w:val="0"/>
          <w:color w:val="auto"/>
          <w:highlight w:val="none"/>
        </w:rPr>
        <w:t>20）《</w:t>
      </w:r>
      <w:r>
        <w:rPr>
          <w:rFonts w:cs="仿宋_GB2312"/>
          <w:b w:val="0"/>
          <w:bCs w:val="0"/>
          <w:color w:val="auto"/>
          <w:highlight w:val="none"/>
        </w:rPr>
        <w:t>互联网诊疗监管细则（试行）</w:t>
      </w:r>
      <w:r>
        <w:rPr>
          <w:rFonts w:ascii="宋体" w:hAnsi="宋体"/>
          <w:b w:val="0"/>
          <w:bCs w:val="0"/>
          <w:color w:val="auto"/>
          <w:highlight w:val="none"/>
        </w:rPr>
        <w:t>》</w:t>
      </w:r>
    </w:p>
    <w:p>
      <w:pPr>
        <w:ind w:firstLine="560"/>
        <w:rPr>
          <w:b w:val="0"/>
          <w:bCs w:val="0"/>
          <w:color w:val="auto"/>
          <w:highlight w:val="none"/>
        </w:rPr>
      </w:pPr>
      <w:r>
        <w:rPr>
          <w:rFonts w:hint="eastAsia" w:ascii="宋体" w:hAnsi="宋体"/>
          <w:b w:val="0"/>
          <w:bCs w:val="0"/>
          <w:color w:val="auto"/>
          <w:highlight w:val="none"/>
        </w:rPr>
        <w:t>（</w:t>
      </w:r>
      <w:r>
        <w:rPr>
          <w:rFonts w:ascii="宋体" w:hAnsi="宋体"/>
          <w:b w:val="0"/>
          <w:bCs w:val="0"/>
          <w:color w:val="auto"/>
          <w:highlight w:val="none"/>
        </w:rPr>
        <w:t>21）《</w:t>
      </w:r>
      <w:r>
        <w:rPr>
          <w:b w:val="0"/>
          <w:bCs w:val="0"/>
          <w:color w:val="auto"/>
          <w:highlight w:val="none"/>
        </w:rPr>
        <w:t>广东省公共数据脱敏规范</w:t>
      </w:r>
      <w:r>
        <w:rPr>
          <w:rFonts w:ascii="宋体" w:hAnsi="宋体"/>
          <w:b w:val="0"/>
          <w:bCs w:val="0"/>
          <w:color w:val="auto"/>
          <w:highlight w:val="none"/>
        </w:rPr>
        <w:t>》</w:t>
      </w:r>
    </w:p>
    <w:p>
      <w:pPr>
        <w:spacing w:line="360" w:lineRule="auto"/>
        <w:ind w:firstLine="560"/>
        <w:rPr>
          <w:rFonts w:ascii="宋体" w:hAnsi="宋体"/>
          <w:b w:val="0"/>
          <w:bCs w:val="0"/>
          <w:color w:val="auto"/>
          <w:highlight w:val="none"/>
        </w:rPr>
      </w:pPr>
    </w:p>
    <w:p>
      <w:pPr>
        <w:spacing w:line="360" w:lineRule="auto"/>
        <w:ind w:firstLine="560"/>
        <w:rPr>
          <w:rFonts w:ascii="宋体" w:hAnsi="宋体"/>
          <w:b w:val="0"/>
          <w:bCs w:val="0"/>
          <w:color w:val="auto"/>
          <w:highlight w:val="none"/>
        </w:rPr>
      </w:pPr>
      <w:r>
        <w:rPr>
          <w:rFonts w:ascii="宋体" w:hAnsi="宋体"/>
          <w:b w:val="0"/>
          <w:bCs w:val="0"/>
          <w:color w:val="auto"/>
          <w:highlight w:val="none"/>
        </w:rPr>
        <w:t>1.2 投标人需无条件配合采购人智慧医院信息化建设，智慧医院信息化建设目标为通过专家评审获得相应级别的评价，相关标准和级别如下：</w:t>
      </w:r>
    </w:p>
    <w:p>
      <w:pPr>
        <w:spacing w:line="360" w:lineRule="auto"/>
        <w:ind w:firstLine="560"/>
        <w:rPr>
          <w:rFonts w:ascii="宋体" w:hAnsi="宋体"/>
          <w:b w:val="0"/>
          <w:bCs w:val="0"/>
          <w:color w:val="auto"/>
          <w:highlight w:val="none"/>
        </w:rPr>
      </w:pPr>
      <w:r>
        <w:rPr>
          <w:rFonts w:hint="eastAsia" w:ascii="宋体" w:hAnsi="宋体"/>
          <w:b w:val="0"/>
          <w:bCs w:val="0"/>
          <w:color w:val="auto"/>
          <w:highlight w:val="none"/>
        </w:rPr>
        <w:t>（</w:t>
      </w:r>
      <w:r>
        <w:rPr>
          <w:rFonts w:ascii="宋体" w:hAnsi="宋体"/>
          <w:b w:val="0"/>
          <w:bCs w:val="0"/>
          <w:color w:val="auto"/>
          <w:highlight w:val="none"/>
        </w:rPr>
        <w:t>1）电子病历系统功能应用水平分级评价方法及标准（六级）</w:t>
      </w:r>
    </w:p>
    <w:p>
      <w:pPr>
        <w:spacing w:line="360" w:lineRule="auto"/>
        <w:ind w:firstLine="560"/>
        <w:rPr>
          <w:rFonts w:ascii="宋体" w:hAnsi="宋体"/>
          <w:b w:val="0"/>
          <w:bCs w:val="0"/>
          <w:color w:val="auto"/>
          <w:highlight w:val="none"/>
        </w:rPr>
      </w:pPr>
      <w:r>
        <w:rPr>
          <w:rFonts w:hint="eastAsia" w:ascii="宋体" w:hAnsi="宋体"/>
          <w:b w:val="0"/>
          <w:bCs w:val="0"/>
          <w:color w:val="auto"/>
          <w:highlight w:val="none"/>
        </w:rPr>
        <w:t>（</w:t>
      </w:r>
      <w:r>
        <w:rPr>
          <w:rFonts w:ascii="宋体" w:hAnsi="宋体"/>
          <w:b w:val="0"/>
          <w:bCs w:val="0"/>
          <w:color w:val="auto"/>
          <w:highlight w:val="none"/>
        </w:rPr>
        <w:t>2）医院信息互联互通标准化成熟度测评（四甲）</w:t>
      </w:r>
    </w:p>
    <w:p>
      <w:pPr>
        <w:spacing w:line="360" w:lineRule="auto"/>
        <w:ind w:firstLine="560"/>
        <w:rPr>
          <w:rFonts w:ascii="宋体" w:hAnsi="宋体"/>
          <w:b w:val="0"/>
          <w:bCs w:val="0"/>
          <w:color w:val="auto"/>
          <w:highlight w:val="none"/>
        </w:rPr>
      </w:pPr>
      <w:r>
        <w:rPr>
          <w:rFonts w:hint="eastAsia" w:ascii="宋体" w:hAnsi="宋体"/>
          <w:b w:val="0"/>
          <w:bCs w:val="0"/>
          <w:color w:val="auto"/>
          <w:highlight w:val="none"/>
        </w:rPr>
        <w:t>（</w:t>
      </w:r>
      <w:r>
        <w:rPr>
          <w:rFonts w:ascii="宋体" w:hAnsi="宋体"/>
          <w:b w:val="0"/>
          <w:bCs w:val="0"/>
          <w:color w:val="auto"/>
          <w:highlight w:val="none"/>
        </w:rPr>
        <w:t>3）医院智慧服务分级评估标准（三级）</w:t>
      </w:r>
    </w:p>
    <w:p>
      <w:pPr>
        <w:spacing w:line="360" w:lineRule="auto"/>
        <w:ind w:firstLine="560"/>
        <w:rPr>
          <w:rFonts w:ascii="宋体" w:hAnsi="宋体"/>
          <w:b w:val="0"/>
          <w:bCs w:val="0"/>
          <w:color w:val="auto"/>
          <w:highlight w:val="none"/>
        </w:rPr>
      </w:pPr>
      <w:r>
        <w:rPr>
          <w:rFonts w:hint="eastAsia" w:ascii="宋体" w:hAnsi="宋体"/>
          <w:b w:val="0"/>
          <w:bCs w:val="0"/>
          <w:color w:val="auto"/>
          <w:highlight w:val="none"/>
        </w:rPr>
        <w:t>（</w:t>
      </w:r>
      <w:r>
        <w:rPr>
          <w:rFonts w:ascii="宋体" w:hAnsi="宋体"/>
          <w:b w:val="0"/>
          <w:bCs w:val="0"/>
          <w:color w:val="auto"/>
          <w:highlight w:val="none"/>
        </w:rPr>
        <w:t>4）医院智慧管理分级评估标准（三级）</w:t>
      </w:r>
    </w:p>
    <w:p>
      <w:pPr>
        <w:spacing w:line="360" w:lineRule="auto"/>
        <w:ind w:firstLine="560"/>
        <w:rPr>
          <w:rFonts w:ascii="宋体" w:hAnsi="宋体"/>
          <w:b w:val="0"/>
          <w:bCs w:val="0"/>
          <w:color w:val="auto"/>
          <w:highlight w:val="none"/>
        </w:rPr>
      </w:pPr>
      <w:r>
        <w:rPr>
          <w:rFonts w:hint="eastAsia" w:ascii="宋体" w:hAnsi="宋体"/>
          <w:b w:val="0"/>
          <w:bCs w:val="0"/>
          <w:color w:val="auto"/>
          <w:highlight w:val="none"/>
        </w:rPr>
        <w:t>（</w:t>
      </w:r>
      <w:r>
        <w:rPr>
          <w:rFonts w:ascii="宋体" w:hAnsi="宋体"/>
          <w:b w:val="0"/>
          <w:bCs w:val="0"/>
          <w:color w:val="auto"/>
          <w:highlight w:val="none"/>
        </w:rPr>
        <w:t>5）信息安全技术网络安全等级保护基本要求（三级）</w:t>
      </w:r>
    </w:p>
    <w:p>
      <w:pPr>
        <w:spacing w:line="360" w:lineRule="auto"/>
        <w:ind w:firstLine="560"/>
        <w:rPr>
          <w:rFonts w:ascii="宋体" w:hAnsi="宋体"/>
          <w:b w:val="0"/>
          <w:bCs w:val="0"/>
          <w:color w:val="auto"/>
          <w:highlight w:val="none"/>
        </w:rPr>
      </w:pPr>
      <w:r>
        <w:rPr>
          <w:rFonts w:ascii="宋体" w:hAnsi="宋体"/>
          <w:b w:val="0"/>
          <w:bCs w:val="0"/>
          <w:color w:val="auto"/>
          <w:highlight w:val="none"/>
        </w:rPr>
        <w:t>1.3 本项目为采购人的智慧医院信息化建设的子项目，本项目为交钥匙工程，投标价应为人民币含税全包价</w:t>
      </w:r>
      <w:r>
        <w:rPr>
          <w:rFonts w:hint="eastAsia" w:ascii="宋体" w:hAnsi="宋体"/>
          <w:b w:val="0"/>
          <w:bCs w:val="0"/>
          <w:color w:val="auto"/>
          <w:highlight w:val="none"/>
        </w:rPr>
        <w:t>，接收后所有功能皆须保证可正常使用</w:t>
      </w:r>
      <w:r>
        <w:rPr>
          <w:rFonts w:ascii="宋体" w:hAnsi="宋体"/>
          <w:b w:val="0"/>
          <w:bCs w:val="0"/>
          <w:color w:val="auto"/>
          <w:highlight w:val="none"/>
        </w:rPr>
        <w:t>，投标价格为固定价格，包括但不限于以下费用：</w:t>
      </w:r>
    </w:p>
    <w:p>
      <w:pPr>
        <w:spacing w:line="360" w:lineRule="auto"/>
        <w:ind w:firstLine="560"/>
        <w:rPr>
          <w:rFonts w:ascii="宋体" w:hAnsi="宋体"/>
          <w:b w:val="0"/>
          <w:bCs w:val="0"/>
          <w:color w:val="auto"/>
          <w:highlight w:val="none"/>
        </w:rPr>
      </w:pPr>
      <w:r>
        <w:rPr>
          <w:rFonts w:hint="eastAsia" w:ascii="宋体" w:hAnsi="宋体"/>
          <w:b w:val="0"/>
          <w:bCs w:val="0"/>
          <w:color w:val="auto"/>
          <w:highlight w:val="none"/>
        </w:rPr>
        <w:t>（</w:t>
      </w:r>
      <w:r>
        <w:rPr>
          <w:rFonts w:ascii="宋体" w:hAnsi="宋体"/>
          <w:b w:val="0"/>
          <w:bCs w:val="0"/>
          <w:color w:val="auto"/>
          <w:highlight w:val="none"/>
        </w:rPr>
        <w:t>1）完整的产品软件、技术文件、系统设计、开发测试、安装调试、技术服务费用等相关费用；</w:t>
      </w:r>
    </w:p>
    <w:p>
      <w:pPr>
        <w:spacing w:line="360" w:lineRule="auto"/>
        <w:ind w:firstLine="560"/>
        <w:rPr>
          <w:rFonts w:ascii="宋体" w:hAnsi="宋体"/>
          <w:b w:val="0"/>
          <w:bCs w:val="0"/>
          <w:color w:val="auto"/>
          <w:highlight w:val="none"/>
        </w:rPr>
      </w:pPr>
      <w:r>
        <w:rPr>
          <w:rFonts w:hint="eastAsia" w:ascii="宋体" w:hAnsi="宋体"/>
          <w:b w:val="0"/>
          <w:bCs w:val="0"/>
          <w:color w:val="auto"/>
          <w:highlight w:val="none"/>
        </w:rPr>
        <w:t>（</w:t>
      </w:r>
      <w:r>
        <w:rPr>
          <w:rFonts w:ascii="宋体" w:hAnsi="宋体"/>
          <w:b w:val="0"/>
          <w:bCs w:val="0"/>
          <w:color w:val="auto"/>
          <w:highlight w:val="none"/>
        </w:rPr>
        <w:t>2）软件永久使用权；</w:t>
      </w:r>
    </w:p>
    <w:p>
      <w:pPr>
        <w:spacing w:line="360" w:lineRule="auto"/>
        <w:ind w:firstLine="560"/>
        <w:rPr>
          <w:rFonts w:ascii="宋体" w:hAnsi="宋体"/>
          <w:b w:val="0"/>
          <w:bCs w:val="0"/>
          <w:color w:val="auto"/>
          <w:highlight w:val="none"/>
        </w:rPr>
      </w:pPr>
      <w:r>
        <w:rPr>
          <w:rFonts w:hint="eastAsia" w:ascii="宋体" w:hAnsi="宋体"/>
          <w:b w:val="0"/>
          <w:bCs w:val="0"/>
          <w:color w:val="auto"/>
          <w:highlight w:val="none"/>
        </w:rPr>
        <w:t>（</w:t>
      </w:r>
      <w:r>
        <w:rPr>
          <w:rFonts w:ascii="宋体" w:hAnsi="宋体"/>
          <w:b w:val="0"/>
          <w:bCs w:val="0"/>
          <w:color w:val="auto"/>
          <w:highlight w:val="none"/>
        </w:rPr>
        <w:t>3）免费维保期内的服务费用和升级改造费用；</w:t>
      </w:r>
    </w:p>
    <w:p>
      <w:pPr>
        <w:spacing w:line="360" w:lineRule="auto"/>
        <w:ind w:firstLine="560"/>
        <w:rPr>
          <w:rFonts w:ascii="宋体" w:hAnsi="宋体"/>
          <w:b w:val="0"/>
          <w:bCs w:val="0"/>
          <w:color w:val="auto"/>
          <w:highlight w:val="none"/>
        </w:rPr>
      </w:pPr>
      <w:r>
        <w:rPr>
          <w:rFonts w:hint="eastAsia" w:ascii="宋体" w:hAnsi="宋体"/>
          <w:b w:val="0"/>
          <w:bCs w:val="0"/>
          <w:color w:val="auto"/>
          <w:highlight w:val="none"/>
        </w:rPr>
        <w:t>（</w:t>
      </w:r>
      <w:r>
        <w:rPr>
          <w:rFonts w:ascii="宋体" w:hAnsi="宋体"/>
          <w:b w:val="0"/>
          <w:bCs w:val="0"/>
          <w:color w:val="auto"/>
          <w:highlight w:val="none"/>
        </w:rPr>
        <w:t>4）系统培训、验收、售后服务、智慧医院建设目标测评所需的费用及相关服务等一切费用；</w:t>
      </w:r>
    </w:p>
    <w:p>
      <w:pPr>
        <w:spacing w:line="360" w:lineRule="auto"/>
        <w:ind w:firstLine="560"/>
        <w:rPr>
          <w:rFonts w:ascii="宋体" w:hAnsi="宋体"/>
          <w:b w:val="0"/>
          <w:bCs w:val="0"/>
          <w:color w:val="auto"/>
          <w:highlight w:val="none"/>
        </w:rPr>
      </w:pPr>
      <w:r>
        <w:rPr>
          <w:rFonts w:hint="eastAsia" w:ascii="宋体" w:hAnsi="宋体"/>
          <w:b w:val="0"/>
          <w:bCs w:val="0"/>
          <w:color w:val="auto"/>
          <w:highlight w:val="none"/>
        </w:rPr>
        <w:t>（</w:t>
      </w:r>
      <w:r>
        <w:rPr>
          <w:rFonts w:ascii="宋体" w:hAnsi="宋体"/>
          <w:b w:val="0"/>
          <w:bCs w:val="0"/>
          <w:color w:val="auto"/>
          <w:highlight w:val="none"/>
        </w:rPr>
        <w:t>5）保证系统正常运行并达到需求标准所需的专用硬件和相关系统软件（服务器、存储设备、负载均衡设备和数据库软件除外）。专用硬件包括但不限于采集卡、控制器、连接线、转接线、接口转换器、网卡、网线等；相关系统软件包括但不限于实现功能清单功能的系统软件、实现功能需求和智慧医院建设目标必须具备的辅助软件，如虚拟化软件、备份软件、管理工具等。采购人不再支付采购额外软硬件费用。</w:t>
      </w:r>
    </w:p>
    <w:p>
      <w:pPr>
        <w:spacing w:line="360" w:lineRule="auto"/>
        <w:ind w:firstLine="560"/>
        <w:rPr>
          <w:rFonts w:ascii="宋体" w:hAnsi="宋体"/>
          <w:b w:val="0"/>
          <w:bCs w:val="0"/>
          <w:color w:val="auto"/>
          <w:highlight w:val="none"/>
        </w:rPr>
      </w:pPr>
      <w:r>
        <w:rPr>
          <w:rFonts w:hint="eastAsia" w:ascii="宋体" w:hAnsi="宋体"/>
          <w:b w:val="0"/>
          <w:bCs w:val="0"/>
          <w:color w:val="auto"/>
          <w:highlight w:val="none"/>
        </w:rPr>
        <w:t>（</w:t>
      </w:r>
      <w:r>
        <w:rPr>
          <w:rFonts w:ascii="宋体" w:hAnsi="宋体"/>
          <w:b w:val="0"/>
          <w:bCs w:val="0"/>
          <w:color w:val="auto"/>
          <w:highlight w:val="none"/>
        </w:rPr>
        <w:t>6）乙方承担</w:t>
      </w:r>
      <w:r>
        <w:rPr>
          <w:rFonts w:hint="eastAsia" w:ascii="宋体" w:hAnsi="宋体"/>
          <w:b w:val="0"/>
          <w:bCs w:val="0"/>
          <w:color w:val="auto"/>
          <w:highlight w:val="none"/>
        </w:rPr>
        <w:t>免费维保期内我院因新增住院楼、科室、部门所需投入的费用。</w:t>
      </w:r>
    </w:p>
    <w:p>
      <w:pPr>
        <w:spacing w:line="360" w:lineRule="auto"/>
        <w:ind w:firstLine="560"/>
        <w:rPr>
          <w:rFonts w:ascii="宋体" w:hAnsi="宋体"/>
          <w:b w:val="0"/>
          <w:bCs w:val="0"/>
          <w:color w:val="auto"/>
          <w:highlight w:val="none"/>
        </w:rPr>
      </w:pPr>
      <w:r>
        <w:rPr>
          <w:rFonts w:hint="eastAsia" w:ascii="宋体" w:hAnsi="宋体"/>
          <w:b w:val="0"/>
          <w:bCs w:val="0"/>
          <w:color w:val="auto"/>
          <w:highlight w:val="none"/>
        </w:rPr>
        <w:t>（</w:t>
      </w:r>
      <w:r>
        <w:rPr>
          <w:rFonts w:ascii="宋体" w:hAnsi="宋体"/>
          <w:b w:val="0"/>
          <w:bCs w:val="0"/>
          <w:color w:val="auto"/>
          <w:highlight w:val="none"/>
        </w:rPr>
        <w:t>7）为完成本项目义务所需支付的其他费用。</w:t>
      </w:r>
    </w:p>
    <w:p>
      <w:pPr>
        <w:spacing w:line="360" w:lineRule="auto"/>
        <w:ind w:firstLine="560"/>
        <w:rPr>
          <w:rFonts w:ascii="宋体" w:hAnsi="宋体"/>
          <w:b w:val="0"/>
          <w:bCs w:val="0"/>
          <w:color w:val="auto"/>
          <w:highlight w:val="none"/>
        </w:rPr>
      </w:pPr>
    </w:p>
    <w:p>
      <w:pPr>
        <w:spacing w:line="360" w:lineRule="auto"/>
        <w:ind w:firstLine="560"/>
        <w:rPr>
          <w:rFonts w:ascii="宋体" w:hAnsi="宋体"/>
          <w:b w:val="0"/>
          <w:bCs w:val="0"/>
          <w:color w:val="auto"/>
          <w:highlight w:val="none"/>
        </w:rPr>
      </w:pPr>
      <w:r>
        <w:rPr>
          <w:rFonts w:ascii="宋体" w:hAnsi="宋体"/>
          <w:b w:val="0"/>
          <w:bCs w:val="0"/>
          <w:color w:val="auto"/>
          <w:highlight w:val="none"/>
        </w:rPr>
        <w:t>1.4 本项目为采购人的智慧医院信息化建设的子项目，本项目投标价应包含满足采购人智慧医院信息化目标建设所需一切资源和费用。在采购人智慧医院信息化建设周期内，投标人必须无条件配合智慧医院信息化目标建设。本项目合同期完成后，采购人的智慧医院信息化建设仍未完成医院建设目标的，投标人需承诺在采购人智慧医院信息化建设周期内，无条件按采购人提出的建设需求和时间节点要求，配合采购人完成本项目中相关系统的升级改造和接口改造工作，</w:t>
      </w:r>
      <w:r>
        <w:rPr>
          <w:rFonts w:hint="eastAsia" w:ascii="宋体" w:hAnsi="宋体"/>
          <w:b w:val="0"/>
          <w:bCs w:val="0"/>
          <w:color w:val="auto"/>
          <w:highlight w:val="none"/>
        </w:rPr>
        <w:t>须与集成平台、H</w:t>
      </w:r>
      <w:r>
        <w:rPr>
          <w:rFonts w:ascii="宋体" w:hAnsi="宋体"/>
          <w:b w:val="0"/>
          <w:bCs w:val="0"/>
          <w:color w:val="auto"/>
          <w:highlight w:val="none"/>
        </w:rPr>
        <w:t>IS</w:t>
      </w:r>
      <w:r>
        <w:rPr>
          <w:rFonts w:hint="eastAsia" w:ascii="宋体" w:hAnsi="宋体"/>
          <w:b w:val="0"/>
          <w:bCs w:val="0"/>
          <w:color w:val="auto"/>
          <w:highlight w:val="none"/>
        </w:rPr>
        <w:t>、H</w:t>
      </w:r>
      <w:r>
        <w:rPr>
          <w:rFonts w:ascii="宋体" w:hAnsi="宋体"/>
          <w:b w:val="0"/>
          <w:bCs w:val="0"/>
          <w:color w:val="auto"/>
          <w:highlight w:val="none"/>
        </w:rPr>
        <w:t>RP</w:t>
      </w:r>
      <w:r>
        <w:rPr>
          <w:rFonts w:hint="eastAsia" w:ascii="宋体" w:hAnsi="宋体"/>
          <w:b w:val="0"/>
          <w:bCs w:val="0"/>
          <w:color w:val="auto"/>
          <w:highlight w:val="none"/>
        </w:rPr>
        <w:t>、科研、O</w:t>
      </w:r>
      <w:r>
        <w:rPr>
          <w:rFonts w:ascii="宋体" w:hAnsi="宋体"/>
          <w:b w:val="0"/>
          <w:bCs w:val="0"/>
          <w:color w:val="auto"/>
          <w:highlight w:val="none"/>
        </w:rPr>
        <w:t>A</w:t>
      </w:r>
      <w:r>
        <w:rPr>
          <w:rFonts w:hint="eastAsia" w:ascii="宋体" w:hAnsi="宋体"/>
          <w:b w:val="0"/>
          <w:bCs w:val="0"/>
          <w:color w:val="auto"/>
          <w:highlight w:val="none"/>
        </w:rPr>
        <w:t>、</w:t>
      </w:r>
      <w:r>
        <w:rPr>
          <w:rFonts w:hint="eastAsia" w:ascii="宋体" w:hAnsi="宋体" w:eastAsia="宋体" w:cs="宋体"/>
          <w:b w:val="0"/>
          <w:bCs w:val="0"/>
          <w:color w:val="auto"/>
          <w:kern w:val="0"/>
          <w:szCs w:val="21"/>
          <w:highlight w:val="none"/>
        </w:rPr>
        <w:t>医务管理系统、护理管理系统</w:t>
      </w:r>
      <w:r>
        <w:rPr>
          <w:rFonts w:hint="eastAsia" w:ascii="宋体" w:hAnsi="宋体"/>
          <w:b w:val="0"/>
          <w:bCs w:val="0"/>
          <w:color w:val="auto"/>
          <w:highlight w:val="none"/>
        </w:rPr>
        <w:t>等系统对接实现数据交换，支持单点登陆，支持CA对接。</w:t>
      </w:r>
      <w:r>
        <w:rPr>
          <w:rFonts w:ascii="宋体" w:hAnsi="宋体"/>
          <w:b w:val="0"/>
          <w:bCs w:val="0"/>
          <w:color w:val="auto"/>
          <w:highlight w:val="none"/>
        </w:rPr>
        <w:t>不再另外收取</w:t>
      </w:r>
      <w:r>
        <w:rPr>
          <w:rFonts w:hint="eastAsia" w:ascii="宋体" w:hAnsi="宋体"/>
          <w:b w:val="0"/>
          <w:bCs w:val="0"/>
          <w:color w:val="auto"/>
          <w:highlight w:val="none"/>
        </w:rPr>
        <w:t>相关</w:t>
      </w:r>
      <w:r>
        <w:rPr>
          <w:rFonts w:ascii="宋体" w:hAnsi="宋体"/>
          <w:b w:val="0"/>
          <w:bCs w:val="0"/>
          <w:color w:val="auto"/>
          <w:highlight w:val="none"/>
        </w:rPr>
        <w:t>费用，不得以各种理由拖延，并提供承诺书。</w:t>
      </w:r>
    </w:p>
    <w:p>
      <w:pPr>
        <w:spacing w:line="360" w:lineRule="auto"/>
        <w:ind w:firstLine="560"/>
        <w:rPr>
          <w:rFonts w:ascii="宋体" w:hAnsi="宋体"/>
          <w:b w:val="0"/>
          <w:bCs w:val="0"/>
          <w:color w:val="auto"/>
          <w:highlight w:val="none"/>
        </w:rPr>
      </w:pPr>
      <w:r>
        <w:rPr>
          <w:rFonts w:ascii="宋体" w:hAnsi="宋体"/>
          <w:b w:val="0"/>
          <w:bCs w:val="0"/>
          <w:color w:val="auto"/>
          <w:highlight w:val="none"/>
        </w:rPr>
        <w:t xml:space="preserve">1.5 本项目中的所有系统、服务、中间件和组件等在本院内使用不能有任何使用和扩展限制，不能有使用次数限制、使用时间限制、加密狗限制、使用并发数限制、设备接入数量限制等。 </w:t>
      </w:r>
    </w:p>
    <w:p>
      <w:pPr>
        <w:spacing w:line="360" w:lineRule="auto"/>
        <w:ind w:firstLine="560"/>
        <w:rPr>
          <w:rFonts w:ascii="宋体" w:hAnsi="宋体"/>
          <w:b w:val="0"/>
          <w:bCs w:val="0"/>
          <w:color w:val="auto"/>
          <w:highlight w:val="none"/>
        </w:rPr>
      </w:pPr>
      <w:r>
        <w:rPr>
          <w:rFonts w:ascii="宋体" w:hAnsi="宋体"/>
          <w:b w:val="0"/>
          <w:bCs w:val="0"/>
          <w:color w:val="auto"/>
          <w:highlight w:val="none"/>
        </w:rPr>
        <w:t>1.6 投标人在投标文件中，应针对项目制定合理的实施步骤，包含需求调研、客户化改造、测试、数据准备、历史数据迁移、培训考核、应急预案等，以确保项目质量和进度 ；</w:t>
      </w:r>
    </w:p>
    <w:p>
      <w:pPr>
        <w:spacing w:line="360" w:lineRule="auto"/>
        <w:ind w:firstLine="560"/>
        <w:rPr>
          <w:rFonts w:ascii="宋体" w:hAnsi="宋体"/>
          <w:b w:val="0"/>
          <w:bCs w:val="0"/>
          <w:color w:val="auto"/>
          <w:highlight w:val="none"/>
        </w:rPr>
      </w:pPr>
      <w:r>
        <w:rPr>
          <w:rFonts w:ascii="宋体" w:hAnsi="宋体"/>
          <w:b w:val="0"/>
          <w:bCs w:val="0"/>
          <w:color w:val="auto"/>
          <w:highlight w:val="none"/>
        </w:rPr>
        <w:t>1.7 项目建设过程中，需协助医院完成信息安全技术信息系统安全等级保护三级的测评工作。提供接口文档的详细说明和调用例子给所有需要对接的软件厂家参考，并给予技术指导。</w:t>
      </w:r>
    </w:p>
    <w:p>
      <w:pPr>
        <w:spacing w:line="360" w:lineRule="auto"/>
        <w:ind w:firstLine="560"/>
        <w:rPr>
          <w:rFonts w:ascii="宋体" w:hAnsi="宋体"/>
          <w:b w:val="0"/>
          <w:bCs w:val="0"/>
          <w:color w:val="auto"/>
          <w:highlight w:val="none"/>
        </w:rPr>
      </w:pPr>
    </w:p>
    <w:p>
      <w:pPr>
        <w:spacing w:line="360" w:lineRule="auto"/>
        <w:ind w:firstLine="560"/>
        <w:rPr>
          <w:rFonts w:ascii="宋体" w:hAnsi="宋体"/>
          <w:b w:val="0"/>
          <w:bCs w:val="0"/>
          <w:color w:val="auto"/>
          <w:highlight w:val="none"/>
        </w:rPr>
      </w:pPr>
      <w:r>
        <w:rPr>
          <w:rFonts w:ascii="宋体" w:hAnsi="宋体"/>
          <w:b w:val="0"/>
          <w:bCs w:val="0"/>
          <w:color w:val="auto"/>
          <w:highlight w:val="none"/>
        </w:rPr>
        <w:t>2.项目建设时间要求</w:t>
      </w:r>
    </w:p>
    <w:p>
      <w:pPr>
        <w:spacing w:line="360" w:lineRule="auto"/>
        <w:ind w:firstLine="560"/>
        <w:rPr>
          <w:rFonts w:ascii="宋体" w:hAnsi="宋体"/>
          <w:b w:val="0"/>
          <w:bCs w:val="0"/>
          <w:color w:val="auto"/>
          <w:highlight w:val="none"/>
        </w:rPr>
      </w:pPr>
      <w:r>
        <w:rPr>
          <w:rFonts w:ascii="宋体" w:hAnsi="宋体"/>
          <w:b w:val="0"/>
          <w:bCs w:val="0"/>
          <w:color w:val="auto"/>
          <w:highlight w:val="none"/>
        </w:rPr>
        <w:t>2.1 合同签订后一周内，中标方应按照项目进度入场实施；</w:t>
      </w:r>
    </w:p>
    <w:p>
      <w:pPr>
        <w:spacing w:line="360" w:lineRule="auto"/>
        <w:ind w:firstLine="560"/>
        <w:rPr>
          <w:rFonts w:ascii="宋体" w:hAnsi="宋体"/>
          <w:b w:val="0"/>
          <w:bCs w:val="0"/>
          <w:color w:val="auto"/>
          <w:highlight w:val="none"/>
        </w:rPr>
      </w:pPr>
      <w:r>
        <w:rPr>
          <w:rFonts w:ascii="宋体" w:hAnsi="宋体"/>
          <w:b w:val="0"/>
          <w:bCs w:val="0"/>
          <w:color w:val="auto"/>
          <w:highlight w:val="none"/>
        </w:rPr>
        <w:t>2.2 合同签订后一个月内完成现场调研，提交调研报告及项目工作范围说明书由双方确认作为项目执行的纲领性文件执行；</w:t>
      </w:r>
    </w:p>
    <w:p>
      <w:pPr>
        <w:spacing w:line="360" w:lineRule="auto"/>
        <w:ind w:firstLine="560"/>
        <w:rPr>
          <w:rFonts w:ascii="宋体" w:hAnsi="宋体"/>
          <w:b w:val="0"/>
          <w:bCs w:val="0"/>
          <w:color w:val="auto"/>
          <w:highlight w:val="none"/>
        </w:rPr>
      </w:pPr>
      <w:r>
        <w:rPr>
          <w:rFonts w:ascii="宋体" w:hAnsi="宋体"/>
          <w:b w:val="0"/>
          <w:bCs w:val="0"/>
          <w:color w:val="auto"/>
          <w:highlight w:val="none"/>
        </w:rPr>
        <w:t>2.3</w:t>
      </w:r>
      <w:r>
        <w:rPr>
          <w:rFonts w:hint="eastAsia" w:ascii="宋体" w:hAnsi="宋体"/>
          <w:b w:val="0"/>
          <w:bCs w:val="0"/>
          <w:color w:val="auto"/>
          <w:highlight w:val="none"/>
        </w:rPr>
        <w:t xml:space="preserve"> 合同签订后六个月内</w:t>
      </w:r>
      <w:r>
        <w:rPr>
          <w:rFonts w:ascii="宋体" w:hAnsi="宋体"/>
          <w:b w:val="0"/>
          <w:bCs w:val="0"/>
          <w:color w:val="auto"/>
          <w:highlight w:val="none"/>
        </w:rPr>
        <w:t>完成系统上线前期工作（需求调研、制定整体项目计划、客户化改造、功能测试、基础数据准备、历史数据迁移、上线前培训考核等）；</w:t>
      </w:r>
    </w:p>
    <w:p>
      <w:pPr>
        <w:spacing w:line="360" w:lineRule="auto"/>
        <w:ind w:firstLine="560"/>
        <w:rPr>
          <w:rFonts w:ascii="宋体" w:hAnsi="宋体"/>
          <w:b w:val="0"/>
          <w:bCs w:val="0"/>
          <w:color w:val="auto"/>
          <w:highlight w:val="none"/>
        </w:rPr>
      </w:pPr>
      <w:r>
        <w:rPr>
          <w:rFonts w:ascii="宋体" w:hAnsi="宋体"/>
          <w:b w:val="0"/>
          <w:bCs w:val="0"/>
          <w:color w:val="auto"/>
          <w:highlight w:val="none"/>
        </w:rPr>
        <w:t>2.4 投标人需承诺无条件配合采购人的智慧医院信息化建设，应全力满足采购人提出的建设需求，必要时增加人力资源完成，不得以各种理由拖延。</w:t>
      </w:r>
    </w:p>
    <w:p>
      <w:pPr>
        <w:spacing w:line="360" w:lineRule="auto"/>
        <w:ind w:firstLine="560"/>
        <w:rPr>
          <w:rFonts w:ascii="宋体" w:hAnsi="宋体"/>
          <w:b w:val="0"/>
          <w:bCs w:val="0"/>
          <w:color w:val="auto"/>
          <w:highlight w:val="none"/>
        </w:rPr>
      </w:pPr>
      <w:r>
        <w:rPr>
          <w:rFonts w:ascii="宋体" w:hAnsi="宋体"/>
          <w:b w:val="0"/>
          <w:bCs w:val="0"/>
          <w:color w:val="auto"/>
          <w:highlight w:val="none"/>
        </w:rPr>
        <w:t>3.实施要求</w:t>
      </w:r>
    </w:p>
    <w:p>
      <w:pPr>
        <w:spacing w:line="360" w:lineRule="auto"/>
        <w:ind w:firstLine="560"/>
        <w:rPr>
          <w:rFonts w:ascii="宋体" w:hAnsi="宋体"/>
          <w:b w:val="0"/>
          <w:bCs w:val="0"/>
          <w:color w:val="auto"/>
          <w:highlight w:val="none"/>
        </w:rPr>
      </w:pPr>
      <w:r>
        <w:rPr>
          <w:rFonts w:ascii="宋体" w:hAnsi="宋体"/>
          <w:b w:val="0"/>
          <w:bCs w:val="0"/>
          <w:color w:val="auto"/>
          <w:highlight w:val="none"/>
        </w:rPr>
        <w:t>3.1 中标人自合同签订一个月内提交需求调研报告、总体设计、概要设计、实施方案与计划供院方审查。</w:t>
      </w:r>
      <w:r>
        <w:rPr>
          <w:rFonts w:hint="eastAsia" w:ascii="宋体" w:hAnsi="宋体"/>
          <w:b w:val="0"/>
          <w:bCs w:val="0"/>
          <w:color w:val="auto"/>
          <w:highlight w:val="none"/>
        </w:rPr>
        <w:t>合同签订后三个月内</w:t>
      </w:r>
      <w:r>
        <w:rPr>
          <w:rFonts w:ascii="宋体" w:hAnsi="宋体"/>
          <w:b w:val="0"/>
          <w:bCs w:val="0"/>
          <w:color w:val="auto"/>
          <w:highlight w:val="none"/>
        </w:rPr>
        <w:t>完成系统上线前期工作（需求调研、制定整体项目计划、客户化改造、功能测试、基础数据准备、历史数据迁移、上线前培训考核等）；3.2 投标人必须确保在整个项目过程中遵守国家及行业相关法规、标准和规范，如果投标人已有产品或工作模式在标准和规范方面存在缺陷，中标人必须在本项目实施过程中予以改正；</w:t>
      </w:r>
    </w:p>
    <w:p>
      <w:pPr>
        <w:spacing w:line="360" w:lineRule="auto"/>
        <w:ind w:firstLine="560"/>
        <w:rPr>
          <w:rFonts w:ascii="宋体" w:hAnsi="宋体"/>
          <w:b w:val="0"/>
          <w:bCs w:val="0"/>
          <w:color w:val="auto"/>
          <w:highlight w:val="none"/>
        </w:rPr>
      </w:pPr>
      <w:r>
        <w:rPr>
          <w:rFonts w:ascii="宋体" w:hAnsi="宋体"/>
          <w:b w:val="0"/>
          <w:bCs w:val="0"/>
          <w:color w:val="auto"/>
          <w:highlight w:val="none"/>
        </w:rPr>
        <w:t>3.3 投标人需提供本项目上线产品的接口和本地开发部分的源码以及相关文档，包括但不限于数据库结构说明、软件详细设计文档、软件概要设计文档、软件运维手册、软件说明书等，源码交付最迟应在项目验收前30天内（即提交源码30天后才能验收）；交付的接口部分源码应可以单独编译和部署与上线系统版本一致。</w:t>
      </w:r>
    </w:p>
    <w:p>
      <w:pPr>
        <w:spacing w:line="360" w:lineRule="auto"/>
        <w:ind w:firstLine="560"/>
        <w:rPr>
          <w:rFonts w:ascii="宋体" w:hAnsi="宋体"/>
          <w:b w:val="0"/>
          <w:bCs w:val="0"/>
          <w:color w:val="auto"/>
          <w:highlight w:val="none"/>
        </w:rPr>
      </w:pPr>
      <w:r>
        <w:rPr>
          <w:rFonts w:ascii="宋体" w:hAnsi="宋体"/>
          <w:b w:val="0"/>
          <w:bCs w:val="0"/>
          <w:color w:val="auto"/>
          <w:highlight w:val="none"/>
        </w:rPr>
        <w:t>3.4 对投标人提供的第三方产品（包括知识产权）需由投标人负责售后和管理，投标人需制定有效管理措施进行约束，对采购人提出的需求需按时完成，对不能按时完成需求的需有惩罚性措施，如出现恶意拖延拒不配合的，采购人有权更换，对此造成的损失由投标人承担（须提供相关承诺书）。</w:t>
      </w:r>
    </w:p>
    <w:p>
      <w:pPr>
        <w:spacing w:line="360" w:lineRule="auto"/>
        <w:ind w:firstLine="560"/>
        <w:rPr>
          <w:rFonts w:ascii="宋体" w:hAnsi="宋体"/>
          <w:b w:val="0"/>
          <w:bCs w:val="0"/>
          <w:color w:val="auto"/>
          <w:highlight w:val="none"/>
        </w:rPr>
      </w:pPr>
      <w:r>
        <w:rPr>
          <w:rFonts w:ascii="宋体" w:hAnsi="宋体"/>
          <w:b w:val="0"/>
          <w:bCs w:val="0"/>
          <w:color w:val="auto"/>
          <w:highlight w:val="none"/>
        </w:rPr>
        <w:t>4.实施团队要求</w:t>
      </w:r>
    </w:p>
    <w:p>
      <w:pPr>
        <w:spacing w:line="360" w:lineRule="auto"/>
        <w:ind w:firstLine="560"/>
        <w:rPr>
          <w:rFonts w:ascii="宋体" w:hAnsi="宋体"/>
          <w:b w:val="0"/>
          <w:bCs w:val="0"/>
          <w:color w:val="auto"/>
          <w:highlight w:val="none"/>
        </w:rPr>
      </w:pPr>
      <w:r>
        <w:rPr>
          <w:rFonts w:ascii="宋体" w:hAnsi="宋体"/>
          <w:b w:val="0"/>
          <w:bCs w:val="0"/>
          <w:color w:val="auto"/>
          <w:highlight w:val="none"/>
        </w:rPr>
        <w:t>4.1 实施团队的工作地点由采购人安排并提供办公场地。项目组成员需纳入医院管理并严格遵守医院有关管理制度，包括考勤制度、着装要求等；</w:t>
      </w:r>
    </w:p>
    <w:p>
      <w:pPr>
        <w:spacing w:line="360" w:lineRule="auto"/>
        <w:ind w:firstLine="560"/>
        <w:rPr>
          <w:rFonts w:ascii="宋体" w:hAnsi="宋体"/>
          <w:b w:val="0"/>
          <w:bCs w:val="0"/>
          <w:color w:val="auto"/>
          <w:highlight w:val="none"/>
        </w:rPr>
      </w:pPr>
      <w:r>
        <w:rPr>
          <w:rFonts w:ascii="宋体" w:hAnsi="宋体"/>
          <w:b w:val="0"/>
          <w:bCs w:val="0"/>
          <w:color w:val="auto"/>
          <w:highlight w:val="none"/>
        </w:rPr>
        <w:t xml:space="preserve">4.2 投标人需提供项目驻点人员方案并承诺不擅自变动团队成员，如遇特殊情况须变动需征得采购人同意； </w:t>
      </w:r>
    </w:p>
    <w:p>
      <w:pPr>
        <w:spacing w:line="360" w:lineRule="auto"/>
        <w:ind w:firstLine="560"/>
        <w:rPr>
          <w:rFonts w:ascii="宋体" w:hAnsi="宋体"/>
          <w:b w:val="0"/>
          <w:bCs w:val="0"/>
          <w:color w:val="auto"/>
          <w:highlight w:val="none"/>
        </w:rPr>
      </w:pPr>
      <w:r>
        <w:rPr>
          <w:rFonts w:ascii="宋体" w:hAnsi="宋体"/>
          <w:b w:val="0"/>
          <w:bCs w:val="0"/>
          <w:color w:val="auto"/>
          <w:highlight w:val="none"/>
        </w:rPr>
        <w:t>4.3 中标人应成立针对医院信息系统建设的项目工作组（提供以下成员的有效社保证明），成员至少包括：</w:t>
      </w:r>
    </w:p>
    <w:p>
      <w:pPr>
        <w:spacing w:line="360" w:lineRule="auto"/>
        <w:ind w:firstLine="560"/>
        <w:rPr>
          <w:rFonts w:ascii="宋体" w:hAnsi="宋体"/>
          <w:b w:val="0"/>
          <w:bCs w:val="0"/>
          <w:color w:val="auto"/>
          <w:highlight w:val="none"/>
        </w:rPr>
      </w:pPr>
      <w:r>
        <w:rPr>
          <w:rFonts w:hint="eastAsia" w:ascii="宋体" w:hAnsi="宋体"/>
          <w:b w:val="0"/>
          <w:bCs w:val="0"/>
          <w:color w:val="auto"/>
          <w:highlight w:val="none"/>
        </w:rPr>
        <w:t>（</w:t>
      </w:r>
      <w:r>
        <w:rPr>
          <w:rFonts w:ascii="宋体" w:hAnsi="宋体"/>
          <w:b w:val="0"/>
          <w:bCs w:val="0"/>
          <w:color w:val="auto"/>
          <w:highlight w:val="none"/>
        </w:rPr>
        <w:t>1）项目经理：全权代表中标人执行各项技术及管理工作；中标人须承诺，项目实施期间现场投入1名专职负责的项目经理（要求在用户认可的办公地点长驻，而且不能兼任其他项目的工作），项目经理负责现场处理问题或交流情况的整体协调工作，如更换项目经理或关键人员，需提供不低于原项目经理或关键人员同等资历的人员，并通过用户书面同意，在项目实施过程中出现资源、进度、质量协调控制不力的情况，甲方有权要求更换相关项目人员，中标人必须予以配合，并确保不影响项目建设的进度和质量。</w:t>
      </w:r>
    </w:p>
    <w:p>
      <w:pPr>
        <w:spacing w:line="360" w:lineRule="auto"/>
        <w:ind w:firstLine="560"/>
        <w:rPr>
          <w:rFonts w:ascii="宋体" w:hAnsi="宋体"/>
          <w:b w:val="0"/>
          <w:bCs w:val="0"/>
          <w:color w:val="auto"/>
          <w:highlight w:val="none"/>
        </w:rPr>
      </w:pPr>
      <w:r>
        <w:rPr>
          <w:rFonts w:hint="eastAsia" w:ascii="宋体" w:hAnsi="宋体"/>
          <w:b w:val="0"/>
          <w:bCs w:val="0"/>
          <w:color w:val="auto"/>
          <w:highlight w:val="none"/>
        </w:rPr>
        <w:t>（</w:t>
      </w:r>
      <w:r>
        <w:rPr>
          <w:rFonts w:ascii="宋体" w:hAnsi="宋体"/>
          <w:b w:val="0"/>
          <w:bCs w:val="0"/>
          <w:color w:val="auto"/>
          <w:highlight w:val="none"/>
        </w:rPr>
        <w:t>2）研发人员：进行现场需求分析及研发，通过研发满足临床需求；</w:t>
      </w:r>
    </w:p>
    <w:p>
      <w:pPr>
        <w:spacing w:line="360" w:lineRule="auto"/>
        <w:ind w:firstLine="560"/>
        <w:rPr>
          <w:rFonts w:ascii="宋体" w:hAnsi="宋体"/>
          <w:b w:val="0"/>
          <w:bCs w:val="0"/>
          <w:color w:val="auto"/>
          <w:highlight w:val="none"/>
        </w:rPr>
      </w:pPr>
      <w:r>
        <w:rPr>
          <w:rFonts w:hint="eastAsia" w:ascii="宋体" w:hAnsi="宋体"/>
          <w:b w:val="0"/>
          <w:bCs w:val="0"/>
          <w:color w:val="auto"/>
          <w:highlight w:val="none"/>
        </w:rPr>
        <w:t>（</w:t>
      </w:r>
      <w:r>
        <w:rPr>
          <w:rFonts w:ascii="宋体" w:hAnsi="宋体"/>
          <w:b w:val="0"/>
          <w:bCs w:val="0"/>
          <w:color w:val="auto"/>
          <w:highlight w:val="none"/>
        </w:rPr>
        <w:t>3）后备项目经理：在项目经理失去工作能力或离职等情况下负责项目管理；</w:t>
      </w:r>
    </w:p>
    <w:p>
      <w:pPr>
        <w:spacing w:line="360" w:lineRule="auto"/>
        <w:ind w:firstLine="560"/>
        <w:rPr>
          <w:rFonts w:ascii="宋体" w:hAnsi="宋体"/>
          <w:b w:val="0"/>
          <w:bCs w:val="0"/>
          <w:color w:val="auto"/>
          <w:highlight w:val="none"/>
        </w:rPr>
      </w:pPr>
      <w:r>
        <w:rPr>
          <w:rFonts w:hint="eastAsia" w:ascii="宋体" w:hAnsi="宋体"/>
          <w:b w:val="0"/>
          <w:bCs w:val="0"/>
          <w:color w:val="auto"/>
          <w:highlight w:val="none"/>
        </w:rPr>
        <w:t>（</w:t>
      </w:r>
      <w:r>
        <w:rPr>
          <w:rFonts w:ascii="宋体" w:hAnsi="宋体"/>
          <w:b w:val="0"/>
          <w:bCs w:val="0"/>
          <w:color w:val="auto"/>
          <w:highlight w:val="none"/>
        </w:rPr>
        <w:t>4）系统分析师和系统架构师：负责需求分析，可行性分析，系统设计和系统架构设计；</w:t>
      </w:r>
    </w:p>
    <w:p>
      <w:pPr>
        <w:spacing w:line="360" w:lineRule="auto"/>
        <w:ind w:firstLine="560"/>
        <w:rPr>
          <w:rFonts w:ascii="宋体" w:hAnsi="宋体"/>
          <w:b w:val="0"/>
          <w:bCs w:val="0"/>
          <w:color w:val="auto"/>
          <w:highlight w:val="none"/>
        </w:rPr>
      </w:pPr>
      <w:r>
        <w:rPr>
          <w:rFonts w:hint="eastAsia" w:ascii="宋体" w:hAnsi="宋体"/>
          <w:b w:val="0"/>
          <w:bCs w:val="0"/>
          <w:color w:val="auto"/>
          <w:highlight w:val="none"/>
        </w:rPr>
        <w:t>（</w:t>
      </w:r>
      <w:r>
        <w:rPr>
          <w:rFonts w:ascii="宋体" w:hAnsi="宋体"/>
          <w:b w:val="0"/>
          <w:bCs w:val="0"/>
          <w:color w:val="auto"/>
          <w:highlight w:val="none"/>
        </w:rPr>
        <w:t>5）项目实施人员：负责项目的现场实施工作，直至项目结束；</w:t>
      </w:r>
    </w:p>
    <w:p>
      <w:pPr>
        <w:spacing w:line="360" w:lineRule="auto"/>
        <w:ind w:firstLine="560"/>
        <w:rPr>
          <w:rFonts w:ascii="宋体" w:hAnsi="宋体"/>
          <w:b w:val="0"/>
          <w:bCs w:val="0"/>
          <w:color w:val="auto"/>
          <w:highlight w:val="none"/>
        </w:rPr>
      </w:pPr>
      <w:r>
        <w:rPr>
          <w:rFonts w:hint="eastAsia" w:ascii="宋体" w:hAnsi="宋体"/>
          <w:b w:val="0"/>
          <w:bCs w:val="0"/>
          <w:color w:val="auto"/>
          <w:highlight w:val="none"/>
        </w:rPr>
        <w:t>（</w:t>
      </w:r>
      <w:r>
        <w:rPr>
          <w:rFonts w:ascii="宋体" w:hAnsi="宋体"/>
          <w:b w:val="0"/>
          <w:bCs w:val="0"/>
          <w:color w:val="auto"/>
          <w:highlight w:val="none"/>
        </w:rPr>
        <w:t>6）项目管理与上线支持人员：在项目实施及上线过程中，负责提供项目管理与技术支持服务；</w:t>
      </w:r>
    </w:p>
    <w:p>
      <w:pPr>
        <w:spacing w:line="360" w:lineRule="auto"/>
        <w:ind w:firstLine="560"/>
        <w:rPr>
          <w:rFonts w:ascii="宋体" w:hAnsi="宋体"/>
          <w:b w:val="0"/>
          <w:bCs w:val="0"/>
          <w:color w:val="auto"/>
          <w:highlight w:val="none"/>
        </w:rPr>
      </w:pPr>
      <w:r>
        <w:rPr>
          <w:rFonts w:hint="eastAsia" w:ascii="宋体" w:hAnsi="宋体"/>
          <w:b w:val="0"/>
          <w:bCs w:val="0"/>
          <w:color w:val="auto"/>
          <w:highlight w:val="none"/>
        </w:rPr>
        <w:t>（</w:t>
      </w:r>
      <w:r>
        <w:rPr>
          <w:rFonts w:ascii="宋体" w:hAnsi="宋体"/>
          <w:b w:val="0"/>
          <w:bCs w:val="0"/>
          <w:color w:val="auto"/>
          <w:highlight w:val="none"/>
        </w:rPr>
        <w:t>7）维护人员：</w:t>
      </w:r>
      <w:r>
        <w:rPr>
          <w:rFonts w:hint="eastAsia" w:ascii="宋体" w:hAnsi="宋体"/>
          <w:b w:val="0"/>
          <w:bCs w:val="0"/>
          <w:color w:val="auto"/>
          <w:highlight w:val="none"/>
        </w:rPr>
        <w:t>建设期间：针对医院的需求修改以本地开发为主，需要常驻不少于?</w:t>
      </w:r>
      <w:r>
        <w:rPr>
          <w:rFonts w:ascii="宋体" w:hAnsi="宋体"/>
          <w:b w:val="0"/>
          <w:bCs w:val="0"/>
          <w:color w:val="auto"/>
          <w:highlight w:val="none"/>
        </w:rPr>
        <w:t>名研发或实施人员</w:t>
      </w:r>
      <w:r>
        <w:rPr>
          <w:rFonts w:hint="eastAsia" w:ascii="宋体" w:hAnsi="宋体"/>
          <w:b w:val="0"/>
          <w:bCs w:val="0"/>
          <w:color w:val="auto"/>
          <w:highlight w:val="none"/>
        </w:rPr>
        <w:t>（不得由任项目经理兼任）</w:t>
      </w:r>
      <w:r>
        <w:rPr>
          <w:rFonts w:ascii="宋体" w:hAnsi="宋体"/>
          <w:b w:val="0"/>
          <w:bCs w:val="0"/>
          <w:color w:val="auto"/>
          <w:highlight w:val="none"/>
        </w:rPr>
        <w:t>；从系统正式上线开始至系统稳定运行</w:t>
      </w:r>
      <w:r>
        <w:rPr>
          <w:rFonts w:hint="eastAsia" w:ascii="宋体" w:hAnsi="宋体"/>
          <w:b w:val="0"/>
          <w:bCs w:val="0"/>
          <w:color w:val="auto"/>
          <w:highlight w:val="none"/>
        </w:rPr>
        <w:t>?</w:t>
      </w:r>
      <w:r>
        <w:rPr>
          <w:rFonts w:ascii="宋体" w:hAnsi="宋体"/>
          <w:b w:val="0"/>
          <w:bCs w:val="0"/>
          <w:color w:val="auto"/>
          <w:highlight w:val="none"/>
        </w:rPr>
        <w:t>个月的时间内：人员配备总数不少于</w:t>
      </w:r>
      <w:r>
        <w:rPr>
          <w:rFonts w:hint="eastAsia" w:ascii="宋体" w:hAnsi="宋体"/>
          <w:b w:val="0"/>
          <w:bCs w:val="0"/>
          <w:color w:val="auto"/>
          <w:highlight w:val="none"/>
        </w:rPr>
        <w:t>相应模块数量</w:t>
      </w:r>
      <w:r>
        <w:rPr>
          <w:rFonts w:ascii="宋体" w:hAnsi="宋体"/>
          <w:b w:val="0"/>
          <w:bCs w:val="0"/>
          <w:color w:val="auto"/>
          <w:highlight w:val="none"/>
        </w:rPr>
        <w:t>；免费维保期：</w:t>
      </w:r>
      <w:r>
        <w:rPr>
          <w:rFonts w:hint="eastAsia" w:ascii="宋体" w:hAnsi="宋体"/>
          <w:b w:val="0"/>
          <w:bCs w:val="0"/>
          <w:color w:val="auto"/>
          <w:highlight w:val="none"/>
        </w:rPr>
        <w:t>前半年派常驻?名专业的系统维保人员，半年后起至免费维保期结束期间维保</w:t>
      </w:r>
      <w:r>
        <w:rPr>
          <w:rFonts w:ascii="宋体" w:hAnsi="宋体"/>
          <w:b w:val="0"/>
          <w:bCs w:val="0"/>
          <w:color w:val="auto"/>
          <w:highlight w:val="none"/>
        </w:rPr>
        <w:t>团队满足</w:t>
      </w:r>
      <w:r>
        <w:rPr>
          <w:rFonts w:hint="eastAsia" w:ascii="宋体" w:hAnsi="宋体"/>
          <w:b w:val="0"/>
          <w:bCs w:val="0"/>
          <w:color w:val="auto"/>
          <w:highlight w:val="none"/>
        </w:rPr>
        <w:t>?钟内响应、?</w:t>
      </w:r>
      <w:r>
        <w:rPr>
          <w:rFonts w:ascii="宋体" w:hAnsi="宋体"/>
          <w:b w:val="0"/>
          <w:bCs w:val="0"/>
          <w:color w:val="auto"/>
          <w:highlight w:val="none"/>
        </w:rPr>
        <w:t>小时内到场保障响应机制</w:t>
      </w:r>
      <w:r>
        <w:rPr>
          <w:rFonts w:hint="eastAsia" w:ascii="宋体" w:hAnsi="宋体"/>
          <w:b w:val="0"/>
          <w:bCs w:val="0"/>
          <w:color w:val="auto"/>
          <w:highlight w:val="none"/>
        </w:rPr>
        <w:t>。</w:t>
      </w:r>
      <w:r>
        <w:rPr>
          <w:rFonts w:ascii="宋体" w:hAnsi="宋体"/>
          <w:b w:val="0"/>
          <w:bCs w:val="0"/>
          <w:color w:val="auto"/>
          <w:highlight w:val="none"/>
        </w:rPr>
        <w:t>（公司根据实际情况填写）</w:t>
      </w:r>
    </w:p>
    <w:p>
      <w:pPr>
        <w:spacing w:line="360" w:lineRule="auto"/>
        <w:ind w:firstLine="560"/>
        <w:rPr>
          <w:rFonts w:ascii="宋体" w:hAnsi="宋体"/>
          <w:b w:val="0"/>
          <w:bCs w:val="0"/>
          <w:color w:val="auto"/>
          <w:highlight w:val="none"/>
        </w:rPr>
      </w:pPr>
      <w:r>
        <w:rPr>
          <w:rFonts w:hint="eastAsia" w:ascii="宋体" w:hAnsi="宋体"/>
          <w:b w:val="0"/>
          <w:bCs w:val="0"/>
          <w:color w:val="auto"/>
          <w:highlight w:val="none"/>
        </w:rPr>
        <w:t>（</w:t>
      </w:r>
      <w:r>
        <w:rPr>
          <w:rFonts w:ascii="宋体" w:hAnsi="宋体"/>
          <w:b w:val="0"/>
          <w:bCs w:val="0"/>
          <w:color w:val="auto"/>
          <w:highlight w:val="none"/>
        </w:rPr>
        <w:t>8）维保期内，乙方未按照约定履行维保义务或未能在约定时间内予以修复相关软硬件的，甲方有权自行委托第三方维修，因此发生的费用（包括但不限于维修人工及其交通、食宿费用、设备费用、材料费用）由乙方承担，乙方应在接到甲方书面通知之日起5日内向甲方支付该费用，逾期未支付的，甲方有权从履约保证金中抵扣，履约保证金不足以抵扣的，乙方应按照约定补足相应的损失金额，如乙方逾期补足的，乙方每逾期一日按照逾期支付款项总额的5%向甲方支付违约金，且乙方仍应按照本合同约定补足相应款项。</w:t>
      </w:r>
    </w:p>
    <w:p>
      <w:pPr>
        <w:spacing w:line="360" w:lineRule="auto"/>
        <w:ind w:firstLine="560"/>
        <w:rPr>
          <w:rFonts w:ascii="宋体" w:hAnsi="宋体"/>
          <w:b w:val="0"/>
          <w:bCs w:val="0"/>
          <w:color w:val="auto"/>
          <w:highlight w:val="none"/>
        </w:rPr>
      </w:pPr>
    </w:p>
    <w:p>
      <w:pPr>
        <w:spacing w:line="360" w:lineRule="auto"/>
        <w:ind w:firstLine="560"/>
        <w:rPr>
          <w:rFonts w:ascii="宋体" w:hAnsi="宋体"/>
          <w:b w:val="0"/>
          <w:bCs w:val="0"/>
          <w:color w:val="auto"/>
          <w:highlight w:val="none"/>
        </w:rPr>
      </w:pPr>
      <w:r>
        <w:rPr>
          <w:rFonts w:ascii="宋体" w:hAnsi="宋体"/>
          <w:b w:val="0"/>
          <w:bCs w:val="0"/>
          <w:color w:val="auto"/>
          <w:highlight w:val="none"/>
        </w:rPr>
        <w:t>5.售后服务要求</w:t>
      </w:r>
    </w:p>
    <w:p>
      <w:pPr>
        <w:spacing w:line="360" w:lineRule="auto"/>
        <w:ind w:firstLine="560"/>
        <w:rPr>
          <w:rFonts w:ascii="宋体" w:hAnsi="宋体"/>
          <w:b w:val="0"/>
          <w:bCs w:val="0"/>
          <w:color w:val="auto"/>
          <w:highlight w:val="none"/>
        </w:rPr>
      </w:pPr>
      <w:r>
        <w:rPr>
          <w:rFonts w:ascii="宋体" w:hAnsi="宋体"/>
          <w:b w:val="0"/>
          <w:bCs w:val="0"/>
          <w:color w:val="auto"/>
          <w:highlight w:val="none"/>
        </w:rPr>
        <w:t>5.1 投标人须承诺自项目整体验收合格之日起，提供不少于</w:t>
      </w:r>
      <w:r>
        <w:rPr>
          <w:rFonts w:hint="eastAsia" w:ascii="宋体" w:hAnsi="宋体"/>
          <w:b w:val="0"/>
          <w:bCs w:val="0"/>
          <w:color w:val="auto"/>
          <w:highlight w:val="none"/>
        </w:rPr>
        <w:t>2</w:t>
      </w:r>
      <w:r>
        <w:rPr>
          <w:rFonts w:ascii="宋体" w:hAnsi="宋体"/>
          <w:b w:val="0"/>
          <w:bCs w:val="0"/>
          <w:color w:val="auto"/>
          <w:highlight w:val="none"/>
        </w:rPr>
        <w:t>年免费维保期(免费维保期包括在投标价内，采购人无需额外支付相关人员交通食宿、设备材料等费用)。免费维保期服务内容包括但不限于，免费提供软件版本升级改造和功能更新、硬件维修保养、人员培训、现场维护服务。</w:t>
      </w:r>
    </w:p>
    <w:p>
      <w:pPr>
        <w:spacing w:line="360" w:lineRule="auto"/>
        <w:ind w:firstLine="560"/>
        <w:rPr>
          <w:rFonts w:ascii="宋体" w:hAnsi="宋体"/>
          <w:b w:val="0"/>
          <w:bCs w:val="0"/>
          <w:color w:val="auto"/>
          <w:highlight w:val="none"/>
        </w:rPr>
      </w:pPr>
      <w:r>
        <w:rPr>
          <w:rFonts w:ascii="宋体" w:hAnsi="宋体"/>
          <w:b w:val="0"/>
          <w:bCs w:val="0"/>
          <w:color w:val="auto"/>
          <w:highlight w:val="none"/>
        </w:rPr>
        <w:t>5.2 投标人须提供维保期内承诺提供7*24小时服务，接到故障上报后应</w:t>
      </w:r>
      <w:r>
        <w:rPr>
          <w:rFonts w:hint="eastAsia" w:ascii="宋体" w:hAnsi="宋体"/>
          <w:b w:val="0"/>
          <w:bCs w:val="0"/>
          <w:color w:val="auto"/>
          <w:highlight w:val="none"/>
        </w:rPr>
        <w:t>1</w:t>
      </w:r>
      <w:r>
        <w:rPr>
          <w:rFonts w:ascii="宋体" w:hAnsi="宋体"/>
          <w:b w:val="0"/>
          <w:bCs w:val="0"/>
          <w:color w:val="auto"/>
          <w:highlight w:val="none"/>
        </w:rPr>
        <w:t>0</w:t>
      </w:r>
      <w:r>
        <w:rPr>
          <w:rFonts w:hint="eastAsia" w:ascii="宋体" w:hAnsi="宋体"/>
          <w:b w:val="0"/>
          <w:bCs w:val="0"/>
          <w:color w:val="auto"/>
          <w:highlight w:val="none"/>
        </w:rPr>
        <w:t>分钟</w:t>
      </w:r>
      <w:r>
        <w:rPr>
          <w:rFonts w:ascii="宋体" w:hAnsi="宋体"/>
          <w:b w:val="0"/>
          <w:bCs w:val="0"/>
          <w:color w:val="auto"/>
          <w:highlight w:val="none"/>
        </w:rPr>
        <w:t>做出响应，如需现场支持，在接到通知后安排技术人员2小时内赶赴现场，若2小时内无法解决问题则提供备用方案以保证不影响正常工作。</w:t>
      </w:r>
    </w:p>
    <w:p>
      <w:pPr>
        <w:spacing w:line="360" w:lineRule="auto"/>
        <w:ind w:firstLine="560"/>
        <w:rPr>
          <w:rFonts w:ascii="宋体" w:hAnsi="宋体"/>
          <w:b w:val="0"/>
          <w:bCs w:val="0"/>
          <w:color w:val="auto"/>
          <w:highlight w:val="none"/>
        </w:rPr>
      </w:pPr>
      <w:r>
        <w:rPr>
          <w:rFonts w:ascii="宋体" w:hAnsi="宋体"/>
          <w:b w:val="0"/>
          <w:bCs w:val="0"/>
          <w:color w:val="auto"/>
          <w:highlight w:val="none"/>
        </w:rPr>
        <w:t>5.3 投标人需承诺维保期内，国家或省、市共性的政策变动需求，免收需求定制开发费，针对突发公共事件（如新冠疫情等）需免费并全力配合完成系统改造升级；</w:t>
      </w:r>
    </w:p>
    <w:p>
      <w:pPr>
        <w:spacing w:line="360" w:lineRule="auto"/>
        <w:ind w:firstLine="560"/>
        <w:rPr>
          <w:rFonts w:ascii="宋体" w:hAnsi="宋体"/>
          <w:b w:val="0"/>
          <w:bCs w:val="0"/>
          <w:color w:val="auto"/>
          <w:highlight w:val="none"/>
        </w:rPr>
      </w:pPr>
      <w:r>
        <w:rPr>
          <w:rFonts w:ascii="宋体" w:hAnsi="宋体"/>
          <w:b w:val="0"/>
          <w:bCs w:val="0"/>
          <w:color w:val="auto"/>
          <w:highlight w:val="none"/>
        </w:rPr>
        <w:t>5.4 中标人须有完整的维护记录管理，确保所有问题提出及处理有记录，有供双方共同记录反馈的简捷的操作方式，达到经双方确认真实可信，可跟踪问题解决情况，查询所有维护记录，并可作为履行服务合同的依据；</w:t>
      </w:r>
    </w:p>
    <w:p>
      <w:pPr>
        <w:spacing w:line="360" w:lineRule="auto"/>
        <w:ind w:firstLine="560"/>
        <w:rPr>
          <w:rFonts w:ascii="宋体" w:hAnsi="宋体"/>
          <w:b w:val="0"/>
          <w:bCs w:val="0"/>
          <w:color w:val="auto"/>
          <w:highlight w:val="none"/>
        </w:rPr>
      </w:pPr>
      <w:r>
        <w:rPr>
          <w:rFonts w:ascii="宋体" w:hAnsi="宋体"/>
          <w:b w:val="0"/>
          <w:bCs w:val="0"/>
          <w:color w:val="auto"/>
          <w:highlight w:val="none"/>
        </w:rPr>
        <w:t>5.5投标人需承诺免费维保期后，每年收取全保服务费不高于本项目合同金额8%，该全保服务费已包含软件版本升级改造和功能更新、需求定制开发的完整源代码、硬件维修保养费和配件费、人员培训、驻场人员、相关人力成本及食宿差旅费等。并提供承诺书。</w:t>
      </w:r>
    </w:p>
    <w:p>
      <w:pPr>
        <w:spacing w:line="360" w:lineRule="auto"/>
        <w:ind w:firstLine="560"/>
        <w:rPr>
          <w:rFonts w:ascii="宋体" w:hAnsi="宋体"/>
          <w:b w:val="0"/>
          <w:bCs w:val="0"/>
          <w:color w:val="auto"/>
          <w:highlight w:val="none"/>
        </w:rPr>
      </w:pPr>
      <w:r>
        <w:rPr>
          <w:rFonts w:ascii="宋体" w:hAnsi="宋体"/>
          <w:b w:val="0"/>
          <w:bCs w:val="0"/>
          <w:color w:val="auto"/>
          <w:highlight w:val="none"/>
        </w:rPr>
        <w:t>6.项目培训要求</w:t>
      </w:r>
    </w:p>
    <w:p>
      <w:pPr>
        <w:spacing w:line="360" w:lineRule="auto"/>
        <w:ind w:firstLine="560"/>
        <w:rPr>
          <w:rFonts w:ascii="宋体" w:hAnsi="宋体"/>
          <w:b w:val="0"/>
          <w:bCs w:val="0"/>
          <w:color w:val="auto"/>
          <w:highlight w:val="none"/>
        </w:rPr>
      </w:pPr>
      <w:r>
        <w:rPr>
          <w:rFonts w:ascii="宋体" w:hAnsi="宋体"/>
          <w:b w:val="0"/>
          <w:bCs w:val="0"/>
          <w:color w:val="auto"/>
          <w:highlight w:val="none"/>
        </w:rPr>
        <w:t>6.1 投标人根据系统软件的功能和特点，充分考虑到系统使用人员的实际水平，提出详细的系统培训方案，明确培训的内容、次数和方式，保证采购人相关人员能够具备独立管理系统软件和日常的维护处理能力，各级业务人员能够熟练使用系统软件。投标人负责培训环境的搭建、培训文档的准备、培训的实施、培训人员的考核等工作。如采购人认为投标人提供的系统培训方案（包括不限于培训内容、次数、方式等）不能满足采购人需求或存在其他问题的，采购人有权提出建议或要求，投标人应根据采购人提出的建议或要求进行修正。</w:t>
      </w:r>
    </w:p>
    <w:p>
      <w:pPr>
        <w:spacing w:line="360" w:lineRule="auto"/>
        <w:ind w:firstLine="560"/>
        <w:rPr>
          <w:rFonts w:ascii="宋体" w:hAnsi="宋体"/>
          <w:b w:val="0"/>
          <w:bCs w:val="0"/>
          <w:color w:val="auto"/>
          <w:highlight w:val="none"/>
        </w:rPr>
      </w:pPr>
      <w:r>
        <w:rPr>
          <w:rFonts w:ascii="宋体" w:hAnsi="宋体"/>
          <w:b w:val="0"/>
          <w:bCs w:val="0"/>
          <w:color w:val="auto"/>
          <w:highlight w:val="none"/>
        </w:rPr>
        <w:t>6.2 投标人提供普通业务操作员、系统管理员、骨干人员等人员现场培训。针对不同对象制定不同的培训计划，并分别培训。</w:t>
      </w:r>
    </w:p>
    <w:p>
      <w:pPr>
        <w:spacing w:line="360" w:lineRule="auto"/>
        <w:ind w:firstLine="560"/>
        <w:rPr>
          <w:rFonts w:ascii="宋体" w:hAnsi="宋体"/>
          <w:b w:val="0"/>
          <w:bCs w:val="0"/>
          <w:color w:val="auto"/>
          <w:highlight w:val="none"/>
        </w:rPr>
      </w:pPr>
      <w:r>
        <w:rPr>
          <w:rFonts w:ascii="宋体" w:hAnsi="宋体"/>
          <w:b w:val="0"/>
          <w:bCs w:val="0"/>
          <w:color w:val="auto"/>
          <w:highlight w:val="none"/>
        </w:rPr>
        <w:t>6.3 投标人提供应用软件操作、操作系统、后台数据库管理、系统维护等现场培训。</w:t>
      </w:r>
    </w:p>
    <w:p>
      <w:pPr>
        <w:spacing w:line="360" w:lineRule="auto"/>
        <w:ind w:firstLine="560"/>
        <w:rPr>
          <w:rFonts w:ascii="宋体" w:hAnsi="宋体"/>
          <w:b w:val="0"/>
          <w:bCs w:val="0"/>
          <w:color w:val="auto"/>
          <w:highlight w:val="none"/>
        </w:rPr>
      </w:pPr>
      <w:r>
        <w:rPr>
          <w:rFonts w:ascii="宋体" w:hAnsi="宋体"/>
          <w:b w:val="0"/>
          <w:bCs w:val="0"/>
          <w:color w:val="auto"/>
          <w:highlight w:val="none"/>
        </w:rPr>
        <w:t>6.4、如采购人有培训需求投标人应积极响应, 采购人仅负责提供培训场地、培训电脑和培训人员的召集、投标人需制作培训教材、培训手册等 。</w:t>
      </w:r>
    </w:p>
    <w:p>
      <w:pPr>
        <w:spacing w:line="360" w:lineRule="auto"/>
        <w:ind w:firstLine="560"/>
        <w:rPr>
          <w:rFonts w:ascii="宋体" w:hAnsi="宋体"/>
          <w:b w:val="0"/>
          <w:bCs w:val="0"/>
          <w:color w:val="auto"/>
          <w:highlight w:val="none"/>
        </w:rPr>
      </w:pPr>
      <w:r>
        <w:rPr>
          <w:rFonts w:ascii="宋体" w:hAnsi="宋体"/>
          <w:b w:val="0"/>
          <w:bCs w:val="0"/>
          <w:color w:val="auto"/>
          <w:highlight w:val="none"/>
        </w:rPr>
        <w:t>6.5 中标人必须为所有被培训人员进行现场培训；</w:t>
      </w:r>
    </w:p>
    <w:p>
      <w:pPr>
        <w:spacing w:line="360" w:lineRule="auto"/>
        <w:ind w:firstLine="560"/>
        <w:rPr>
          <w:rFonts w:ascii="宋体" w:hAnsi="宋体"/>
          <w:b w:val="0"/>
          <w:bCs w:val="0"/>
          <w:color w:val="auto"/>
          <w:highlight w:val="none"/>
        </w:rPr>
      </w:pPr>
      <w:r>
        <w:rPr>
          <w:rFonts w:ascii="宋体" w:hAnsi="宋体"/>
          <w:b w:val="0"/>
          <w:bCs w:val="0"/>
          <w:color w:val="auto"/>
          <w:highlight w:val="none"/>
        </w:rPr>
        <w:t>6.6 业务系统操作培训工作应在系统安装之前结束；</w:t>
      </w:r>
    </w:p>
    <w:p>
      <w:pPr>
        <w:spacing w:line="360" w:lineRule="auto"/>
        <w:ind w:firstLine="560"/>
        <w:rPr>
          <w:rFonts w:ascii="宋体" w:hAnsi="宋体"/>
          <w:b w:val="0"/>
          <w:bCs w:val="0"/>
          <w:color w:val="auto"/>
          <w:highlight w:val="none"/>
        </w:rPr>
      </w:pPr>
      <w:r>
        <w:rPr>
          <w:rFonts w:ascii="宋体" w:hAnsi="宋体"/>
          <w:b w:val="0"/>
          <w:bCs w:val="0"/>
          <w:color w:val="auto"/>
          <w:highlight w:val="none"/>
        </w:rPr>
        <w:t>6.7每次培训的相关教材、视频等纸质及电子文档资料须交付采购人留存。</w:t>
      </w:r>
    </w:p>
    <w:p>
      <w:pPr>
        <w:spacing w:line="360" w:lineRule="auto"/>
        <w:ind w:firstLine="560"/>
        <w:rPr>
          <w:rFonts w:ascii="宋体" w:hAnsi="宋体"/>
          <w:b w:val="0"/>
          <w:bCs w:val="0"/>
          <w:color w:val="auto"/>
          <w:highlight w:val="none"/>
        </w:rPr>
      </w:pPr>
      <w:r>
        <w:rPr>
          <w:rFonts w:ascii="宋体" w:hAnsi="宋体"/>
          <w:b w:val="0"/>
          <w:bCs w:val="0"/>
          <w:color w:val="auto"/>
          <w:highlight w:val="none"/>
        </w:rPr>
        <w:t>6.8 与培训相关的费用，投标人应当一并计算在投标报价中。</w:t>
      </w:r>
    </w:p>
    <w:p>
      <w:pPr>
        <w:spacing w:line="360" w:lineRule="auto"/>
        <w:ind w:firstLine="560"/>
        <w:rPr>
          <w:rFonts w:ascii="宋体" w:hAnsi="宋体"/>
          <w:b w:val="0"/>
          <w:bCs w:val="0"/>
          <w:color w:val="auto"/>
          <w:highlight w:val="none"/>
        </w:rPr>
      </w:pPr>
    </w:p>
    <w:p>
      <w:pPr>
        <w:spacing w:line="360" w:lineRule="auto"/>
        <w:ind w:firstLine="560"/>
        <w:rPr>
          <w:rFonts w:ascii="宋体" w:hAnsi="宋体"/>
          <w:b w:val="0"/>
          <w:bCs w:val="0"/>
          <w:color w:val="auto"/>
          <w:highlight w:val="none"/>
        </w:rPr>
      </w:pPr>
      <w:r>
        <w:rPr>
          <w:rFonts w:ascii="宋体" w:hAnsi="宋体"/>
          <w:b w:val="0"/>
          <w:bCs w:val="0"/>
          <w:color w:val="auto"/>
          <w:highlight w:val="none"/>
        </w:rPr>
        <w:t>7.文档管理要求</w:t>
      </w:r>
    </w:p>
    <w:p>
      <w:pPr>
        <w:spacing w:line="360" w:lineRule="auto"/>
        <w:ind w:firstLine="560"/>
        <w:rPr>
          <w:rFonts w:ascii="宋体" w:hAnsi="宋体"/>
          <w:b w:val="0"/>
          <w:bCs w:val="0"/>
          <w:color w:val="auto"/>
          <w:highlight w:val="none"/>
        </w:rPr>
      </w:pPr>
      <w:r>
        <w:rPr>
          <w:rFonts w:ascii="宋体" w:hAnsi="宋体"/>
          <w:b w:val="0"/>
          <w:bCs w:val="0"/>
          <w:color w:val="auto"/>
          <w:highlight w:val="none"/>
        </w:rPr>
        <w:t>7.1 文档是保证项目的实施连贯性的重要保证，中标人需要提供完善的文档，并对项目进行过程中的文档进行有效的管理，接受采购人对项目各阶段评估分析和监督管理；</w:t>
      </w:r>
    </w:p>
    <w:p>
      <w:pPr>
        <w:spacing w:line="360" w:lineRule="auto"/>
        <w:ind w:firstLine="560"/>
        <w:rPr>
          <w:rFonts w:ascii="宋体" w:hAnsi="宋体"/>
          <w:b w:val="0"/>
          <w:bCs w:val="0"/>
          <w:color w:val="auto"/>
          <w:highlight w:val="none"/>
        </w:rPr>
      </w:pPr>
      <w:r>
        <w:rPr>
          <w:rFonts w:ascii="宋体" w:hAnsi="宋体"/>
          <w:b w:val="0"/>
          <w:bCs w:val="0"/>
          <w:color w:val="auto"/>
          <w:highlight w:val="none"/>
        </w:rPr>
        <w:t>7.2 整个项目的过程包括后期修改维护贯穿ISO9001和CMM的规范，使用国家标准码，提供齐全的项目管理、设计和开发、操作说明等书面文档和电子版；</w:t>
      </w:r>
    </w:p>
    <w:p>
      <w:pPr>
        <w:spacing w:line="360" w:lineRule="auto"/>
        <w:ind w:firstLine="560"/>
        <w:rPr>
          <w:rFonts w:ascii="宋体" w:hAnsi="宋体"/>
          <w:b w:val="0"/>
          <w:bCs w:val="0"/>
          <w:color w:val="auto"/>
          <w:highlight w:val="none"/>
        </w:rPr>
      </w:pPr>
      <w:r>
        <w:rPr>
          <w:rFonts w:ascii="宋体" w:hAnsi="宋体"/>
          <w:b w:val="0"/>
          <w:bCs w:val="0"/>
          <w:color w:val="auto"/>
          <w:highlight w:val="none"/>
        </w:rPr>
        <w:t>7.3 信息系统所有的文档材料应完全满足三级等保的技术要求和管理制度要求。</w:t>
      </w:r>
    </w:p>
    <w:p>
      <w:pPr>
        <w:spacing w:line="360" w:lineRule="auto"/>
        <w:ind w:firstLine="560"/>
        <w:rPr>
          <w:rFonts w:ascii="宋体" w:hAnsi="宋体"/>
          <w:b w:val="0"/>
          <w:bCs w:val="0"/>
          <w:color w:val="auto"/>
          <w:highlight w:val="none"/>
        </w:rPr>
      </w:pPr>
      <w:r>
        <w:rPr>
          <w:rFonts w:ascii="宋体" w:hAnsi="宋体"/>
          <w:b w:val="0"/>
          <w:bCs w:val="0"/>
          <w:color w:val="auto"/>
          <w:highlight w:val="none"/>
        </w:rPr>
        <w:t>7.4 按采购人聘请的第三方监理公司要求提供其他文档。</w:t>
      </w:r>
    </w:p>
    <w:p>
      <w:pPr>
        <w:spacing w:line="360" w:lineRule="auto"/>
        <w:ind w:firstLine="560"/>
        <w:rPr>
          <w:rFonts w:ascii="宋体" w:hAnsi="宋体"/>
          <w:b w:val="0"/>
          <w:bCs w:val="0"/>
          <w:color w:val="auto"/>
          <w:highlight w:val="none"/>
        </w:rPr>
      </w:pPr>
    </w:p>
    <w:p>
      <w:pPr>
        <w:spacing w:line="360" w:lineRule="auto"/>
        <w:ind w:firstLine="560"/>
        <w:rPr>
          <w:rFonts w:ascii="宋体" w:hAnsi="宋体"/>
          <w:b w:val="0"/>
          <w:bCs w:val="0"/>
          <w:color w:val="auto"/>
          <w:highlight w:val="none"/>
        </w:rPr>
      </w:pPr>
      <w:r>
        <w:rPr>
          <w:rFonts w:ascii="宋体" w:hAnsi="宋体"/>
          <w:b w:val="0"/>
          <w:bCs w:val="0"/>
          <w:color w:val="auto"/>
          <w:highlight w:val="none"/>
        </w:rPr>
        <w:t>8.数据保密要求</w:t>
      </w:r>
    </w:p>
    <w:p>
      <w:pPr>
        <w:spacing w:line="360" w:lineRule="auto"/>
        <w:ind w:firstLine="560"/>
        <w:rPr>
          <w:rFonts w:ascii="宋体" w:hAnsi="宋体"/>
          <w:b w:val="0"/>
          <w:bCs w:val="0"/>
          <w:color w:val="auto"/>
          <w:highlight w:val="none"/>
        </w:rPr>
      </w:pPr>
      <w:r>
        <w:rPr>
          <w:rFonts w:ascii="宋体" w:hAnsi="宋体"/>
          <w:b w:val="0"/>
          <w:bCs w:val="0"/>
          <w:color w:val="auto"/>
          <w:highlight w:val="none"/>
        </w:rPr>
        <w:t>8.1投标人承诺向医院提供本项目上线的系统接口和本地定制开发部分的源代码及数据库结构说明、概要设计、详细设计、测试文档、发布和部署文档等相关文档，提供的源码需可单独编译和部署与上线系统版本一致。</w:t>
      </w:r>
    </w:p>
    <w:p>
      <w:pPr>
        <w:spacing w:line="360" w:lineRule="auto"/>
        <w:ind w:firstLine="560"/>
        <w:rPr>
          <w:rFonts w:ascii="宋体" w:hAnsi="宋体"/>
          <w:b w:val="0"/>
          <w:bCs w:val="0"/>
          <w:color w:val="auto"/>
          <w:highlight w:val="none"/>
        </w:rPr>
      </w:pPr>
      <w:r>
        <w:rPr>
          <w:rFonts w:ascii="宋体" w:hAnsi="宋体"/>
          <w:b w:val="0"/>
          <w:bCs w:val="0"/>
          <w:color w:val="auto"/>
          <w:highlight w:val="none"/>
        </w:rPr>
        <w:t>8.2 第三方产品满足提供数据结构说明和相关系统文档，且尽力争取第三方厂商提供源码。</w:t>
      </w:r>
    </w:p>
    <w:p>
      <w:pPr>
        <w:spacing w:line="360" w:lineRule="auto"/>
        <w:ind w:firstLine="560"/>
        <w:rPr>
          <w:rFonts w:ascii="宋体" w:hAnsi="宋体"/>
          <w:b w:val="0"/>
          <w:bCs w:val="0"/>
          <w:color w:val="auto"/>
          <w:highlight w:val="none"/>
        </w:rPr>
      </w:pPr>
      <w:r>
        <w:rPr>
          <w:rFonts w:ascii="宋体" w:hAnsi="宋体"/>
          <w:b w:val="0"/>
          <w:bCs w:val="0"/>
          <w:color w:val="auto"/>
          <w:highlight w:val="none"/>
        </w:rPr>
        <w:t>8.3 源码交付采用阶段性交付方式，最迟应在验收后30天内。</w:t>
      </w:r>
    </w:p>
    <w:p>
      <w:pPr>
        <w:spacing w:line="360" w:lineRule="auto"/>
        <w:ind w:firstLine="560"/>
        <w:rPr>
          <w:rFonts w:ascii="宋体" w:hAnsi="宋体"/>
          <w:b w:val="0"/>
          <w:bCs w:val="0"/>
          <w:color w:val="auto"/>
          <w:highlight w:val="none"/>
        </w:rPr>
      </w:pPr>
      <w:r>
        <w:rPr>
          <w:rFonts w:ascii="宋体" w:hAnsi="宋体"/>
          <w:b w:val="0"/>
          <w:bCs w:val="0"/>
          <w:color w:val="auto"/>
          <w:highlight w:val="none"/>
        </w:rPr>
        <w:t>8.4 项目中所涉及的采购人的资料、数据和其他商业信息，未经采购人书面的许可，投标人不得以任何形式用于合同之外的目的，不得以任何形式向第三方泄露，投标人不得在软件系统中留有任何可能导致采购人数据泄密的软件“后门”。</w:t>
      </w:r>
    </w:p>
    <w:p>
      <w:pPr>
        <w:spacing w:line="360" w:lineRule="auto"/>
        <w:ind w:firstLine="560"/>
        <w:rPr>
          <w:rFonts w:ascii="宋体" w:hAnsi="宋体"/>
          <w:b w:val="0"/>
          <w:bCs w:val="0"/>
          <w:color w:val="auto"/>
          <w:highlight w:val="none"/>
        </w:rPr>
      </w:pPr>
      <w:r>
        <w:rPr>
          <w:rFonts w:ascii="宋体" w:hAnsi="宋体"/>
          <w:b w:val="0"/>
          <w:bCs w:val="0"/>
          <w:color w:val="auto"/>
          <w:highlight w:val="none"/>
        </w:rPr>
        <w:t xml:space="preserve">8.5 一旦因投标人原因导致泄密事件发生，采购人有权追究投标人全部经济和法律责任，投标人应当赔偿因泄露相关信息资料给采购人造成的损失（包括但不限于合理的调查、取证、存证、保全、保全担保、法律程序、律师及其他由此导致的费用、开支、损失或损害）。 </w:t>
      </w:r>
    </w:p>
    <w:p>
      <w:pPr>
        <w:spacing w:line="360" w:lineRule="auto"/>
        <w:ind w:firstLine="560"/>
        <w:rPr>
          <w:rFonts w:ascii="宋体" w:hAnsi="宋体"/>
          <w:b w:val="0"/>
          <w:bCs w:val="0"/>
          <w:color w:val="auto"/>
          <w:highlight w:val="none"/>
        </w:rPr>
      </w:pPr>
      <w:r>
        <w:rPr>
          <w:rFonts w:hint="eastAsia" w:ascii="宋体" w:hAnsi="宋体"/>
          <w:b w:val="0"/>
          <w:bCs w:val="0"/>
          <w:color w:val="auto"/>
          <w:highlight w:val="none"/>
        </w:rPr>
        <w:t>一切保密责任不因合同的中止或解除而失效。</w:t>
      </w:r>
    </w:p>
    <w:p>
      <w:pPr>
        <w:spacing w:line="360" w:lineRule="auto"/>
        <w:ind w:firstLine="560"/>
        <w:rPr>
          <w:rFonts w:ascii="宋体" w:hAnsi="宋体"/>
          <w:b w:val="0"/>
          <w:bCs w:val="0"/>
          <w:color w:val="auto"/>
          <w:highlight w:val="none"/>
        </w:rPr>
      </w:pPr>
      <w:r>
        <w:rPr>
          <w:rFonts w:ascii="宋体" w:hAnsi="宋体"/>
          <w:b w:val="0"/>
          <w:bCs w:val="0"/>
          <w:color w:val="auto"/>
          <w:highlight w:val="none"/>
        </w:rPr>
        <w:t>8.6 双方需签订保密协议。</w:t>
      </w:r>
    </w:p>
    <w:p>
      <w:pPr>
        <w:spacing w:line="360" w:lineRule="auto"/>
        <w:ind w:firstLine="560"/>
        <w:rPr>
          <w:rFonts w:ascii="宋体" w:hAnsi="宋体"/>
          <w:b w:val="0"/>
          <w:bCs w:val="0"/>
          <w:color w:val="auto"/>
          <w:highlight w:val="none"/>
        </w:rPr>
      </w:pPr>
      <w:r>
        <w:rPr>
          <w:rFonts w:ascii="宋体" w:hAnsi="宋体"/>
          <w:b w:val="0"/>
          <w:bCs w:val="0"/>
          <w:color w:val="auto"/>
          <w:highlight w:val="none"/>
        </w:rPr>
        <w:t>9.项目进度保障要求</w:t>
      </w:r>
    </w:p>
    <w:p>
      <w:pPr>
        <w:spacing w:line="360" w:lineRule="auto"/>
        <w:ind w:firstLine="560"/>
        <w:rPr>
          <w:rFonts w:ascii="宋体" w:hAnsi="宋体"/>
          <w:b w:val="0"/>
          <w:bCs w:val="0"/>
          <w:color w:val="auto"/>
          <w:highlight w:val="none"/>
        </w:rPr>
      </w:pPr>
      <w:r>
        <w:rPr>
          <w:rFonts w:ascii="宋体" w:hAnsi="宋体"/>
          <w:b w:val="0"/>
          <w:bCs w:val="0"/>
          <w:color w:val="auto"/>
          <w:highlight w:val="none"/>
        </w:rPr>
        <w:t>9.1 除不可抗力外，因中标人或中标人所提供产品的原因导致采购人智慧医院建设项目的里程碑节点延期交付，则自延迟一天起按本项目总金额的0.01%/天赔偿采购人损失，最高不超过10%；</w:t>
      </w:r>
    </w:p>
    <w:p>
      <w:pPr>
        <w:spacing w:line="360" w:lineRule="auto"/>
        <w:ind w:firstLine="560"/>
        <w:rPr>
          <w:rFonts w:ascii="宋体" w:hAnsi="宋体"/>
          <w:b w:val="0"/>
          <w:bCs w:val="0"/>
          <w:color w:val="auto"/>
          <w:highlight w:val="none"/>
        </w:rPr>
      </w:pPr>
      <w:r>
        <w:rPr>
          <w:rFonts w:ascii="宋体" w:hAnsi="宋体"/>
          <w:b w:val="0"/>
          <w:bCs w:val="0"/>
          <w:color w:val="auto"/>
          <w:highlight w:val="none"/>
        </w:rPr>
        <w:t>9.2 中标人应提供稳定运行的系统和产品，因本身任何缺陷、故障等问题导致系统不能稳定运行，并且不能在采购人规定的时限内完成对系统缺陷、故障等问题的修正，导致影响采购人业务运转造成损失或不良影响的，采购人有权终止合同，并向中标人追索因此而导致的一切损失（包括不限于合理的调查、取证、存证、保全、保全担保、法律程序、律师及其他由此导致的费用、开支、损失或损害）和前期采购人已支付给中标人的所有款项。</w:t>
      </w:r>
    </w:p>
    <w:p>
      <w:pPr>
        <w:spacing w:line="360" w:lineRule="auto"/>
        <w:ind w:firstLine="560"/>
        <w:rPr>
          <w:rFonts w:ascii="宋体" w:hAnsi="宋体"/>
          <w:b w:val="0"/>
          <w:bCs w:val="0"/>
          <w:color w:val="auto"/>
          <w:highlight w:val="none"/>
        </w:rPr>
      </w:pPr>
      <w:r>
        <w:rPr>
          <w:rFonts w:ascii="宋体" w:hAnsi="宋体"/>
          <w:b w:val="0"/>
          <w:bCs w:val="0"/>
          <w:color w:val="auto"/>
          <w:highlight w:val="none"/>
        </w:rPr>
        <w:t>9.3 中标人应保障充足人力资源推进本项目，如因人员技术能力、人员数量等原因导致项目停滞或大幅超出节点规定时间的，经</w:t>
      </w:r>
      <w:r>
        <w:rPr>
          <w:rFonts w:hint="eastAsia" w:ascii="宋体" w:hAnsi="宋体"/>
          <w:b w:val="0"/>
          <w:bCs w:val="0"/>
          <w:color w:val="auto"/>
          <w:highlight w:val="none"/>
        </w:rPr>
        <w:t>3</w:t>
      </w:r>
      <w:r>
        <w:rPr>
          <w:rFonts w:ascii="宋体" w:hAnsi="宋体"/>
          <w:b w:val="0"/>
          <w:bCs w:val="0"/>
          <w:color w:val="auto"/>
          <w:highlight w:val="none"/>
        </w:rPr>
        <w:t>次协商无效，不能保障项目顺利完成的，采购人有权终止合同，并向中标人追索前期采购人已支付给中标人的所有款项。</w:t>
      </w:r>
    </w:p>
    <w:p>
      <w:pPr>
        <w:spacing w:line="360" w:lineRule="auto"/>
        <w:ind w:firstLine="560"/>
        <w:rPr>
          <w:rFonts w:ascii="宋体" w:hAnsi="宋体"/>
          <w:b w:val="0"/>
          <w:bCs w:val="0"/>
          <w:color w:val="auto"/>
          <w:highlight w:val="none"/>
        </w:rPr>
      </w:pPr>
      <w:r>
        <w:rPr>
          <w:rFonts w:ascii="宋体" w:hAnsi="宋体"/>
          <w:b w:val="0"/>
          <w:bCs w:val="0"/>
          <w:color w:val="auto"/>
          <w:highlight w:val="none"/>
        </w:rPr>
        <w:t>9.4 维保期内，中标人未按照约定履行维保义务或未能在约定时间内予以修复相关硬软件的，采购人有权自行委托第三方维修，因此发生的费用（包括但不限于维修人工及其交通、食宿费用、设备费用、材料费用）由中标人承担，中标人应在接到采购人书面通知之日起5日内向采购人支付该费用，逾期未支付的，采购人有权从履约保证金中抵扣，履约保证金不足以抵扣的，中标人应按照约定补足相应的损失金额，如中标人逾期补足的，中标人每逾期一日按照逾期支付款项总额的5%向采购人支付违约金，且中标人仍应按照本合同约定补足相应款项。</w:t>
      </w:r>
    </w:p>
    <w:p>
      <w:pPr>
        <w:spacing w:line="360" w:lineRule="auto"/>
        <w:ind w:firstLine="560"/>
        <w:rPr>
          <w:rFonts w:ascii="宋体" w:hAnsi="宋体"/>
          <w:b w:val="0"/>
          <w:bCs w:val="0"/>
          <w:color w:val="auto"/>
          <w:highlight w:val="none"/>
        </w:rPr>
      </w:pPr>
    </w:p>
    <w:p>
      <w:pPr>
        <w:spacing w:line="360" w:lineRule="auto"/>
        <w:ind w:firstLine="560"/>
        <w:rPr>
          <w:rFonts w:ascii="宋体" w:hAnsi="宋体"/>
          <w:b w:val="0"/>
          <w:bCs w:val="0"/>
          <w:color w:val="auto"/>
          <w:highlight w:val="none"/>
        </w:rPr>
      </w:pPr>
      <w:r>
        <w:rPr>
          <w:rFonts w:ascii="宋体" w:hAnsi="宋体"/>
          <w:b w:val="0"/>
          <w:bCs w:val="0"/>
          <w:color w:val="auto"/>
          <w:highlight w:val="none"/>
        </w:rPr>
        <w:t>10.项目验收要求</w:t>
      </w:r>
    </w:p>
    <w:p>
      <w:pPr>
        <w:spacing w:line="360" w:lineRule="auto"/>
        <w:ind w:firstLine="560"/>
        <w:rPr>
          <w:rFonts w:ascii="宋体" w:hAnsi="宋体"/>
          <w:b w:val="0"/>
          <w:bCs w:val="0"/>
          <w:color w:val="auto"/>
          <w:highlight w:val="none"/>
        </w:rPr>
      </w:pPr>
      <w:r>
        <w:rPr>
          <w:rFonts w:ascii="宋体" w:hAnsi="宋体"/>
          <w:b w:val="0"/>
          <w:bCs w:val="0"/>
          <w:color w:val="auto"/>
          <w:highlight w:val="none"/>
        </w:rPr>
        <w:t>10.1 投标人改造完成采购人关键性需求，覆盖所有业务流程，完成所有业务科室需求，投标人提供《系统上线方案》采购人审核同意后方可启动系统上线流程。系统上线并稳定运行一个月后投标人编制《系统上线报告》交由采购人确认完成上线流程。</w:t>
      </w:r>
    </w:p>
    <w:p>
      <w:pPr>
        <w:spacing w:line="360" w:lineRule="auto"/>
        <w:ind w:firstLine="560"/>
        <w:rPr>
          <w:rFonts w:ascii="宋体" w:hAnsi="宋体"/>
          <w:b w:val="0"/>
          <w:bCs w:val="0"/>
          <w:color w:val="auto"/>
          <w:highlight w:val="none"/>
        </w:rPr>
      </w:pPr>
      <w:r>
        <w:rPr>
          <w:rFonts w:ascii="宋体" w:hAnsi="宋体"/>
          <w:b w:val="0"/>
          <w:bCs w:val="0"/>
          <w:color w:val="auto"/>
          <w:highlight w:val="none"/>
        </w:rPr>
        <w:t>10.2 系统验收：在系统安装、调试完毕，满足采购人要求的全部功能，完成客户化工作，提交全部所需文档，完成上线流程并稳定运行三个月后，可向采购人提交书面验收申请，采购人经确认中标人已完成合同内容后，采购人和中标人双方共同组织、按照招标文件、投标文件、合同、相关承诺和相关补充文件的内容进行验收，由中标人出具《系统验收报告》。如达不到验收要求确需整改的，中标人应根据采购人所提整改内容继续修改，直至达到验收条件后双方共同组织验收。</w:t>
      </w:r>
    </w:p>
    <w:p>
      <w:pPr>
        <w:spacing w:line="360" w:lineRule="auto"/>
        <w:ind w:firstLine="560"/>
        <w:rPr>
          <w:rFonts w:ascii="宋体" w:hAnsi="宋体"/>
          <w:b w:val="0"/>
          <w:bCs w:val="0"/>
          <w:color w:val="auto"/>
          <w:highlight w:val="none"/>
        </w:rPr>
      </w:pPr>
      <w:r>
        <w:rPr>
          <w:rFonts w:ascii="宋体" w:hAnsi="宋体"/>
          <w:b w:val="0"/>
          <w:bCs w:val="0"/>
          <w:color w:val="auto"/>
          <w:highlight w:val="none"/>
        </w:rPr>
        <w:t>11.结算方式</w:t>
      </w:r>
    </w:p>
    <w:p>
      <w:pPr>
        <w:spacing w:line="360" w:lineRule="auto"/>
        <w:ind w:firstLine="560"/>
        <w:rPr>
          <w:rFonts w:ascii="宋体" w:hAnsi="宋体"/>
          <w:b w:val="0"/>
          <w:bCs w:val="0"/>
          <w:color w:val="auto"/>
          <w:highlight w:val="none"/>
        </w:rPr>
      </w:pPr>
      <w:r>
        <w:rPr>
          <w:rFonts w:ascii="宋体" w:hAnsi="宋体"/>
          <w:b w:val="0"/>
          <w:bCs w:val="0"/>
          <w:color w:val="auto"/>
          <w:highlight w:val="none"/>
        </w:rPr>
        <w:t>11.1</w:t>
      </w:r>
      <w:r>
        <w:rPr>
          <w:rFonts w:ascii="宋体" w:hAnsi="宋体"/>
          <w:b w:val="0"/>
          <w:bCs w:val="0"/>
          <w:color w:val="auto"/>
          <w:highlight w:val="none"/>
        </w:rPr>
        <w:tab/>
      </w:r>
      <w:r>
        <w:rPr>
          <w:rFonts w:ascii="宋体" w:hAnsi="宋体"/>
          <w:b w:val="0"/>
          <w:bCs w:val="0"/>
          <w:color w:val="auto"/>
          <w:highlight w:val="none"/>
        </w:rPr>
        <w:t>结算方式：</w:t>
      </w:r>
    </w:p>
    <w:p>
      <w:pPr>
        <w:spacing w:line="360" w:lineRule="auto"/>
        <w:ind w:firstLine="560"/>
        <w:rPr>
          <w:rFonts w:ascii="宋体" w:hAnsi="宋体"/>
          <w:b w:val="0"/>
          <w:bCs w:val="0"/>
          <w:color w:val="auto"/>
          <w:highlight w:val="none"/>
        </w:rPr>
      </w:pPr>
      <w:r>
        <w:rPr>
          <w:rFonts w:hint="eastAsia" w:ascii="宋体" w:hAnsi="宋体"/>
          <w:b w:val="0"/>
          <w:bCs w:val="0"/>
          <w:color w:val="auto"/>
          <w:highlight w:val="none"/>
        </w:rPr>
        <w:t>（</w:t>
      </w:r>
      <w:r>
        <w:rPr>
          <w:rFonts w:ascii="宋体" w:hAnsi="宋体"/>
          <w:b w:val="0"/>
          <w:bCs w:val="0"/>
          <w:color w:val="auto"/>
          <w:highlight w:val="none"/>
        </w:rPr>
        <w:t>1）合同签订后，收到中标人等额有效发票，三十个工作日内支付项目合同总额的15%；</w:t>
      </w:r>
    </w:p>
    <w:p>
      <w:pPr>
        <w:spacing w:line="360" w:lineRule="auto"/>
        <w:ind w:firstLine="560"/>
        <w:rPr>
          <w:rFonts w:ascii="宋体" w:hAnsi="宋体"/>
          <w:b w:val="0"/>
          <w:bCs w:val="0"/>
          <w:color w:val="auto"/>
          <w:highlight w:val="none"/>
        </w:rPr>
      </w:pPr>
      <w:r>
        <w:rPr>
          <w:rFonts w:hint="eastAsia" w:ascii="宋体" w:hAnsi="宋体"/>
          <w:b w:val="0"/>
          <w:bCs w:val="0"/>
          <w:color w:val="auto"/>
          <w:highlight w:val="none"/>
        </w:rPr>
        <w:t>（</w:t>
      </w:r>
      <w:r>
        <w:rPr>
          <w:rFonts w:ascii="宋体" w:hAnsi="宋体"/>
          <w:b w:val="0"/>
          <w:bCs w:val="0"/>
          <w:color w:val="auto"/>
          <w:highlight w:val="none"/>
        </w:rPr>
        <w:t>2）系统正式上线并稳定运行满一个月，双方签字确认《系统上线报告》后，收到中标人等额有效发票，三十个工作日内支付项目合同总额的15%；</w:t>
      </w:r>
    </w:p>
    <w:p>
      <w:pPr>
        <w:spacing w:line="360" w:lineRule="auto"/>
        <w:ind w:firstLine="560"/>
        <w:rPr>
          <w:rFonts w:ascii="宋体" w:hAnsi="宋体"/>
          <w:b w:val="0"/>
          <w:bCs w:val="0"/>
          <w:color w:val="auto"/>
          <w:highlight w:val="none"/>
        </w:rPr>
      </w:pPr>
      <w:r>
        <w:rPr>
          <w:rFonts w:hint="eastAsia" w:ascii="宋体" w:hAnsi="宋体"/>
          <w:b w:val="0"/>
          <w:bCs w:val="0"/>
          <w:color w:val="auto"/>
          <w:highlight w:val="none"/>
        </w:rPr>
        <w:t>（</w:t>
      </w:r>
      <w:r>
        <w:rPr>
          <w:rFonts w:ascii="宋体" w:hAnsi="宋体"/>
          <w:b w:val="0"/>
          <w:bCs w:val="0"/>
          <w:color w:val="auto"/>
          <w:highlight w:val="none"/>
        </w:rPr>
        <w:t>3）根据项目验收要求完成验收后，双方签字确认《系统验收报告》，收到中标人等额有效发票，三十个工作日内支付项目合同总额的70%；</w:t>
      </w:r>
    </w:p>
    <w:p>
      <w:pPr>
        <w:spacing w:line="360" w:lineRule="auto"/>
        <w:ind w:firstLine="560"/>
        <w:rPr>
          <w:rFonts w:ascii="宋体" w:hAnsi="宋体"/>
          <w:b w:val="0"/>
          <w:bCs w:val="0"/>
          <w:color w:val="auto"/>
          <w:highlight w:val="none"/>
        </w:rPr>
      </w:pPr>
      <w:r>
        <w:rPr>
          <w:rFonts w:ascii="宋体" w:hAnsi="宋体"/>
          <w:b w:val="0"/>
          <w:bCs w:val="0"/>
          <w:color w:val="auto"/>
          <w:highlight w:val="none"/>
        </w:rPr>
        <w:t>11.2履约保证金：</w:t>
      </w:r>
    </w:p>
    <w:p>
      <w:pPr>
        <w:spacing w:line="360" w:lineRule="auto"/>
        <w:ind w:firstLine="560"/>
        <w:rPr>
          <w:rFonts w:ascii="宋体" w:hAnsi="宋体"/>
          <w:b w:val="0"/>
          <w:bCs w:val="0"/>
          <w:color w:val="auto"/>
          <w:highlight w:val="none"/>
        </w:rPr>
      </w:pPr>
      <w:r>
        <w:rPr>
          <w:rFonts w:hint="eastAsia" w:ascii="宋体" w:hAnsi="宋体"/>
          <w:b w:val="0"/>
          <w:bCs w:val="0"/>
          <w:color w:val="auto"/>
          <w:highlight w:val="none"/>
        </w:rPr>
        <w:t>（</w:t>
      </w:r>
      <w:r>
        <w:rPr>
          <w:rFonts w:ascii="宋体" w:hAnsi="宋体"/>
          <w:b w:val="0"/>
          <w:bCs w:val="0"/>
          <w:color w:val="auto"/>
          <w:highlight w:val="none"/>
        </w:rPr>
        <w:t>1）履约保证金为中标合同金额的5%。合同签订后10个工作日内，中标人以现金方式或非现金方式（可选电汇、汇票、支票、保函等，如选用保函形式，保函出具机构原则上应在采购人所在城市范围内且有实体营业点）缴纳或提交履约保证金。</w:t>
      </w:r>
    </w:p>
    <w:p>
      <w:pPr>
        <w:spacing w:line="360" w:lineRule="auto"/>
        <w:ind w:firstLine="560"/>
        <w:rPr>
          <w:rFonts w:ascii="宋体" w:hAnsi="宋体"/>
          <w:b w:val="0"/>
          <w:bCs w:val="0"/>
          <w:color w:val="auto"/>
          <w:highlight w:val="none"/>
        </w:rPr>
      </w:pPr>
      <w:r>
        <w:rPr>
          <w:rFonts w:hint="eastAsia" w:ascii="宋体" w:hAnsi="宋体"/>
          <w:b w:val="0"/>
          <w:bCs w:val="0"/>
          <w:color w:val="auto"/>
          <w:highlight w:val="none"/>
        </w:rPr>
        <w:t>（</w:t>
      </w:r>
      <w:r>
        <w:rPr>
          <w:rFonts w:ascii="宋体" w:hAnsi="宋体"/>
          <w:b w:val="0"/>
          <w:bCs w:val="0"/>
          <w:color w:val="auto"/>
          <w:highlight w:val="none"/>
        </w:rPr>
        <w:t>2）履约保证金的退还，维保期结束后中标人无违约情况下，不计利息一次性退还。在投标人履行项目期间内，投标人不存在任何违约行为及本项目全部整体验收合格后正常使用至免费维保期结束后（正常使用是指不存在任何影响项目系统稳定、正常运行或使用的缺陷、故障等问题），中标人出具履约保证金返还申请，采购人三十个工作日内全额退还履约保证金；如投标人在本合同履行期间违反合同约定或免费维保期限内发生影响正常使用的问题，采购人有权根据投标人违约及问题的严重程度相应全部或部分扣减履约保证金，若履约保证金不足以弥补投标人给采购人带来的</w:t>
      </w:r>
      <w:r>
        <w:rPr>
          <w:rFonts w:hint="eastAsia" w:ascii="宋体" w:hAnsi="宋体"/>
          <w:b w:val="0"/>
          <w:bCs w:val="0"/>
          <w:color w:val="auto"/>
          <w:highlight w:val="none"/>
        </w:rPr>
        <w:t>损失的，投标人应在收到采购人书面通知后</w:t>
      </w:r>
      <w:r>
        <w:rPr>
          <w:rFonts w:ascii="宋体" w:hAnsi="宋体"/>
          <w:b w:val="0"/>
          <w:bCs w:val="0"/>
          <w:color w:val="auto"/>
          <w:highlight w:val="none"/>
        </w:rPr>
        <w:t>5日内补足因此给采购人造成的损失额。</w:t>
      </w:r>
    </w:p>
    <w:p>
      <w:pPr>
        <w:ind w:firstLine="560"/>
        <w:rPr>
          <w:b w:val="0"/>
          <w:bCs w:val="0"/>
          <w:color w:val="auto"/>
          <w:highlight w:val="none"/>
        </w:rPr>
      </w:pPr>
    </w:p>
    <w:p>
      <w:pPr>
        <w:ind w:firstLine="560"/>
        <w:rPr>
          <w:b w:val="0"/>
          <w:bCs w:val="0"/>
          <w:color w:val="auto"/>
          <w:highlight w:val="none"/>
        </w:rPr>
      </w:pPr>
    </w:p>
    <w:p>
      <w:pPr>
        <w:rPr>
          <w:b w:val="0"/>
          <w:bCs w:val="0"/>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D1F08"/>
    <w:multiLevelType w:val="multilevel"/>
    <w:tmpl w:val="00FD1F08"/>
    <w:lvl w:ilvl="0" w:tentative="0">
      <w:start w:val="1"/>
      <w:numFmt w:val="decimal"/>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9C75151"/>
    <w:multiLevelType w:val="multilevel"/>
    <w:tmpl w:val="09C75151"/>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4B78ED1"/>
    <w:multiLevelType w:val="multilevel"/>
    <w:tmpl w:val="14B78ED1"/>
    <w:lvl w:ilvl="0" w:tentative="0">
      <w:start w:val="1"/>
      <w:numFmt w:val="decimal"/>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4D740E5"/>
    <w:multiLevelType w:val="multilevel"/>
    <w:tmpl w:val="14D740E5"/>
    <w:lvl w:ilvl="0" w:tentative="0">
      <w:start w:val="1"/>
      <w:numFmt w:val="decimal"/>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6250909"/>
    <w:multiLevelType w:val="multilevel"/>
    <w:tmpl w:val="26250909"/>
    <w:lvl w:ilvl="0" w:tentative="0">
      <w:start w:val="1"/>
      <w:numFmt w:val="decimal"/>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82B2960"/>
    <w:multiLevelType w:val="multilevel"/>
    <w:tmpl w:val="282B2960"/>
    <w:lvl w:ilvl="0" w:tentative="0">
      <w:start w:val="1"/>
      <w:numFmt w:val="decimal"/>
      <w:lvlText w:val="%1)"/>
      <w:lvlJc w:val="left"/>
      <w:pPr>
        <w:ind w:left="840" w:hanging="420"/>
      </w:pPr>
      <w:rPr>
        <w:rFonts w:cs="Times New Roman"/>
      </w:rPr>
    </w:lvl>
    <w:lvl w:ilvl="1" w:tentative="0">
      <w:start w:val="1"/>
      <w:numFmt w:val="decimal"/>
      <w:lvlText w:val="%2、"/>
      <w:lvlJc w:val="left"/>
      <w:pPr>
        <w:tabs>
          <w:tab w:val="left" w:pos="1200"/>
        </w:tabs>
        <w:ind w:left="1200" w:hanging="360"/>
      </w:pPr>
      <w:rPr>
        <w:rFonts w:hint="default"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6">
    <w:nsid w:val="2CF1442F"/>
    <w:multiLevelType w:val="multilevel"/>
    <w:tmpl w:val="2CF1442F"/>
    <w:lvl w:ilvl="0" w:tentative="0">
      <w:start w:val="1"/>
      <w:numFmt w:val="decimal"/>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655168B"/>
    <w:multiLevelType w:val="multilevel"/>
    <w:tmpl w:val="3655168B"/>
    <w:lvl w:ilvl="0" w:tentative="0">
      <w:start w:val="1"/>
      <w:numFmt w:val="decimal"/>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6B7ED28"/>
    <w:multiLevelType w:val="multilevel"/>
    <w:tmpl w:val="46B7ED28"/>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F0A72E3"/>
    <w:multiLevelType w:val="multilevel"/>
    <w:tmpl w:val="4F0A72E3"/>
    <w:lvl w:ilvl="0" w:tentative="0">
      <w:start w:val="1"/>
      <w:numFmt w:val="decimal"/>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0214611"/>
    <w:multiLevelType w:val="multilevel"/>
    <w:tmpl w:val="50214611"/>
    <w:lvl w:ilvl="0" w:tentative="0">
      <w:start w:val="1"/>
      <w:numFmt w:val="decimal"/>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EE425B1"/>
    <w:multiLevelType w:val="multilevel"/>
    <w:tmpl w:val="5EE425B1"/>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0590947"/>
    <w:multiLevelType w:val="multilevel"/>
    <w:tmpl w:val="60590947"/>
    <w:lvl w:ilvl="0" w:tentative="0">
      <w:start w:val="1"/>
      <w:numFmt w:val="decimal"/>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65954385"/>
    <w:multiLevelType w:val="multilevel"/>
    <w:tmpl w:val="65954385"/>
    <w:lvl w:ilvl="0" w:tentative="0">
      <w:start w:val="1"/>
      <w:numFmt w:val="decimal"/>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68F0092D"/>
    <w:multiLevelType w:val="multilevel"/>
    <w:tmpl w:val="68F0092D"/>
    <w:lvl w:ilvl="0" w:tentative="0">
      <w:start w:val="1"/>
      <w:numFmt w:val="decimal"/>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9C80991"/>
    <w:multiLevelType w:val="multilevel"/>
    <w:tmpl w:val="69C80991"/>
    <w:lvl w:ilvl="0" w:tentative="0">
      <w:start w:val="1"/>
      <w:numFmt w:val="decimal"/>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6"/>
  </w:num>
  <w:num w:numId="3">
    <w:abstractNumId w:val="0"/>
  </w:num>
  <w:num w:numId="4">
    <w:abstractNumId w:val="10"/>
  </w:num>
  <w:num w:numId="5">
    <w:abstractNumId w:val="4"/>
  </w:num>
  <w:num w:numId="6">
    <w:abstractNumId w:val="15"/>
  </w:num>
  <w:num w:numId="7">
    <w:abstractNumId w:val="11"/>
  </w:num>
  <w:num w:numId="8">
    <w:abstractNumId w:val="1"/>
  </w:num>
  <w:num w:numId="9">
    <w:abstractNumId w:val="8"/>
  </w:num>
  <w:num w:numId="10">
    <w:abstractNumId w:val="3"/>
  </w:num>
  <w:num w:numId="11">
    <w:abstractNumId w:val="13"/>
  </w:num>
  <w:num w:numId="12">
    <w:abstractNumId w:val="9"/>
  </w:num>
  <w:num w:numId="13">
    <w:abstractNumId w:val="7"/>
  </w:num>
  <w:num w:numId="14">
    <w:abstractNumId w:val="14"/>
  </w:num>
  <w:num w:numId="15">
    <w:abstractNumId w:val="2"/>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70B"/>
    <w:rsid w:val="00046B6C"/>
    <w:rsid w:val="002C50A2"/>
    <w:rsid w:val="005F55F7"/>
    <w:rsid w:val="00647910"/>
    <w:rsid w:val="006D47D4"/>
    <w:rsid w:val="008861A6"/>
    <w:rsid w:val="00BA2727"/>
    <w:rsid w:val="00D8470B"/>
    <w:rsid w:val="00DD47DF"/>
    <w:rsid w:val="00E91D75"/>
    <w:rsid w:val="00F566D8"/>
    <w:rsid w:val="17AE0BAF"/>
    <w:rsid w:val="52936511"/>
    <w:rsid w:val="5CFE5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1"/>
    <w:uiPriority w:val="0"/>
    <w:pPr>
      <w:ind w:firstLine="964" w:firstLineChars="200"/>
      <w:jc w:val="left"/>
    </w:pPr>
    <w:rPr>
      <w:rFonts w:ascii="仿宋_GB2312" w:hAnsi="仿宋_GB2312" w:eastAsia="仿宋_GB2312"/>
      <w:sz w:val="28"/>
      <w:szCs w:val="24"/>
    </w:rPr>
  </w:style>
  <w:style w:type="paragraph" w:styleId="3">
    <w:name w:val="Balloon Text"/>
    <w:basedOn w:val="1"/>
    <w:link w:val="12"/>
    <w:semiHidden/>
    <w:unhideWhenUsed/>
    <w:uiPriority w:val="99"/>
    <w:rPr>
      <w:sz w:val="18"/>
      <w:szCs w:val="18"/>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uiPriority w:val="0"/>
    <w:rPr>
      <w:sz w:val="21"/>
      <w:szCs w:val="21"/>
    </w:rPr>
  </w:style>
  <w:style w:type="character" w:customStyle="1" w:styleId="9">
    <w:name w:val="页眉 字符"/>
    <w:basedOn w:val="7"/>
    <w:link w:val="5"/>
    <w:uiPriority w:val="99"/>
    <w:rPr>
      <w:sz w:val="18"/>
      <w:szCs w:val="18"/>
    </w:rPr>
  </w:style>
  <w:style w:type="character" w:customStyle="1" w:styleId="10">
    <w:name w:val="页脚 字符"/>
    <w:basedOn w:val="7"/>
    <w:link w:val="4"/>
    <w:uiPriority w:val="99"/>
    <w:rPr>
      <w:sz w:val="18"/>
      <w:szCs w:val="18"/>
    </w:rPr>
  </w:style>
  <w:style w:type="character" w:customStyle="1" w:styleId="11">
    <w:name w:val="批注文字 字符"/>
    <w:basedOn w:val="7"/>
    <w:link w:val="2"/>
    <w:uiPriority w:val="0"/>
    <w:rPr>
      <w:rFonts w:ascii="仿宋_GB2312" w:hAnsi="仿宋_GB2312" w:eastAsia="仿宋_GB2312"/>
      <w:sz w:val="28"/>
      <w:szCs w:val="24"/>
    </w:rPr>
  </w:style>
  <w:style w:type="character" w:customStyle="1" w:styleId="12">
    <w:name w:val="批注框文本 字符"/>
    <w:basedOn w:val="7"/>
    <w:link w:val="3"/>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2196</Words>
  <Characters>12520</Characters>
  <Lines>104</Lines>
  <Paragraphs>29</Paragraphs>
  <TotalTime>36</TotalTime>
  <ScaleCrop>false</ScaleCrop>
  <LinksUpToDate>false</LinksUpToDate>
  <CharactersWithSpaces>14687</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2024-06-11T01:41:00Z</dcterms:created>
  <dc:creator>孟伶俊</dc:creator>
  <cp:lastModifiedBy>1</cp:lastModifiedBy>
  <dcterms:modified xsi:type="dcterms:W3CDTF">2024-06-14T00:28:49Z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