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bCs/>
          <w:sz w:val="36"/>
          <w:szCs w:val="36"/>
          <w:lang w:val="en-US" w:eastAsia="zh-CN"/>
        </w:rPr>
      </w:pPr>
      <w:r>
        <w:rPr>
          <w:rFonts w:hint="eastAsia" w:ascii="宋体" w:hAnsi="宋体" w:eastAsia="宋体"/>
          <w:b/>
          <w:bCs/>
          <w:sz w:val="36"/>
          <w:szCs w:val="36"/>
          <w:lang w:val="en-US" w:eastAsia="zh-CN"/>
        </w:rPr>
        <w:t>中山市中医院</w:t>
      </w:r>
      <w:r>
        <w:rPr>
          <w:rFonts w:hint="eastAsia" w:ascii="宋体" w:hAnsi="宋体" w:eastAsia="宋体"/>
          <w:b/>
          <w:bCs/>
          <w:sz w:val="36"/>
          <w:szCs w:val="36"/>
        </w:rPr>
        <w:t>老年综合评估系统</w:t>
      </w:r>
      <w:r>
        <w:rPr>
          <w:rFonts w:hint="eastAsia" w:ascii="宋体" w:hAnsi="宋体" w:eastAsia="宋体"/>
          <w:b/>
          <w:bCs/>
          <w:sz w:val="36"/>
          <w:szCs w:val="36"/>
          <w:lang w:val="en-US" w:eastAsia="zh-CN"/>
        </w:rPr>
        <w:t>需求</w:t>
      </w:r>
    </w:p>
    <w:p>
      <w:pPr>
        <w:spacing w:line="360" w:lineRule="auto"/>
        <w:rPr>
          <w:rFonts w:hint="eastAsia" w:ascii="宋体" w:hAnsi="宋体" w:eastAsia="宋体"/>
          <w:sz w:val="24"/>
          <w:szCs w:val="24"/>
          <w:lang w:eastAsia="zh-CN"/>
        </w:rPr>
      </w:pPr>
      <w:r>
        <w:rPr>
          <w:rFonts w:hint="eastAsia" w:ascii="宋体" w:hAnsi="宋体" w:eastAsia="宋体"/>
          <w:sz w:val="24"/>
          <w:szCs w:val="24"/>
          <w:lang w:val="en-US" w:eastAsia="zh-CN"/>
        </w:rPr>
        <w:t>一、项目技术参数</w:t>
      </w:r>
      <w:r>
        <w:rPr>
          <w:rFonts w:hint="eastAsia" w:ascii="宋体" w:hAnsi="宋体" w:eastAsia="宋体"/>
          <w:sz w:val="24"/>
          <w:szCs w:val="24"/>
        </w:rPr>
        <w:t>需求</w:t>
      </w:r>
      <w:r>
        <w:rPr>
          <w:rFonts w:hint="eastAsia" w:ascii="宋体" w:hAnsi="宋体" w:eastAsia="宋体"/>
          <w:sz w:val="24"/>
          <w:szCs w:val="24"/>
          <w:lang w:eastAsia="zh-CN"/>
        </w:rPr>
        <w:t>：</w:t>
      </w:r>
    </w:p>
    <w:p>
      <w:pPr>
        <w:spacing w:line="360" w:lineRule="auto"/>
        <w:rPr>
          <w:rFonts w:hint="eastAsia" w:ascii="宋体" w:hAnsi="宋体" w:eastAsia="宋体"/>
          <w:sz w:val="24"/>
          <w:szCs w:val="24"/>
        </w:rPr>
      </w:pPr>
      <w:r>
        <w:rPr>
          <w:rFonts w:hint="eastAsia" w:ascii="宋体" w:hAnsi="宋体" w:eastAsia="宋体"/>
          <w:sz w:val="24"/>
          <w:szCs w:val="24"/>
        </w:rPr>
        <w:t>1.多场景应用：老年综合评估系统适用于全科的老年患者，至少能在门诊、住院与体检中心全场景开展；</w:t>
      </w:r>
    </w:p>
    <w:p>
      <w:pPr>
        <w:spacing w:line="360" w:lineRule="auto"/>
        <w:rPr>
          <w:rFonts w:hint="eastAsia" w:ascii="宋体" w:hAnsi="宋体" w:eastAsia="宋体"/>
          <w:sz w:val="24"/>
          <w:szCs w:val="24"/>
        </w:rPr>
      </w:pPr>
      <w:r>
        <w:rPr>
          <w:rFonts w:hint="eastAsia" w:ascii="宋体" w:hAnsi="宋体" w:eastAsia="宋体"/>
          <w:sz w:val="24"/>
          <w:szCs w:val="24"/>
        </w:rPr>
        <w:t>2.评估内容涵盖2017年《中国老年综合评估技术应用专家共识》17项评估内容，使用量表为国内公认的常用可信量表。</w:t>
      </w:r>
    </w:p>
    <w:p>
      <w:pPr>
        <w:spacing w:line="360" w:lineRule="auto"/>
        <w:rPr>
          <w:rFonts w:hint="eastAsia" w:ascii="宋体" w:hAnsi="宋体" w:eastAsia="宋体"/>
          <w:sz w:val="24"/>
          <w:szCs w:val="24"/>
        </w:rPr>
      </w:pPr>
      <w:r>
        <w:rPr>
          <w:rFonts w:hint="eastAsia" w:ascii="宋体" w:hAnsi="宋体" w:eastAsia="宋体"/>
          <w:sz w:val="24"/>
          <w:szCs w:val="24"/>
        </w:rPr>
        <w:t>3.可综合量表的评估结果报告，实时、高效、准确针对不同评估结果的老年患者做出对应建议，连续性的评估资料有对比并作出相应的建议。</w:t>
      </w:r>
    </w:p>
    <w:p>
      <w:pPr>
        <w:spacing w:line="360" w:lineRule="auto"/>
        <w:rPr>
          <w:rFonts w:hint="eastAsia" w:ascii="宋体" w:hAnsi="宋体" w:eastAsia="宋体"/>
          <w:sz w:val="24"/>
          <w:szCs w:val="24"/>
        </w:rPr>
      </w:pPr>
      <w:r>
        <w:rPr>
          <w:rFonts w:hint="eastAsia" w:ascii="宋体" w:hAnsi="宋体" w:eastAsia="宋体"/>
          <w:sz w:val="24"/>
          <w:szCs w:val="24"/>
        </w:rPr>
        <w:t>4.集成老年患者健康功能评估数据库功能，能实时将评估数据上传至数据库，数据可进行统一管理及科研使用。</w:t>
      </w:r>
    </w:p>
    <w:p>
      <w:pPr>
        <w:spacing w:line="360" w:lineRule="auto"/>
        <w:rPr>
          <w:rFonts w:hint="eastAsia" w:ascii="宋体" w:hAnsi="宋体" w:eastAsia="宋体"/>
          <w:sz w:val="24"/>
          <w:szCs w:val="24"/>
        </w:rPr>
      </w:pPr>
      <w:r>
        <w:rPr>
          <w:rFonts w:hint="eastAsia" w:ascii="宋体" w:hAnsi="宋体" w:eastAsia="宋体"/>
          <w:sz w:val="24"/>
          <w:szCs w:val="24"/>
        </w:rPr>
        <w:t>5.可接入医院HIS系统，评估报告和建议可编辑；评估便捷打印接口。</w:t>
      </w:r>
    </w:p>
    <w:p>
      <w:pPr>
        <w:spacing w:line="360" w:lineRule="auto"/>
        <w:rPr>
          <w:rFonts w:hint="eastAsia" w:ascii="宋体" w:hAnsi="宋体" w:eastAsia="宋体"/>
          <w:sz w:val="24"/>
          <w:szCs w:val="24"/>
        </w:rPr>
      </w:pPr>
      <w:r>
        <w:rPr>
          <w:rFonts w:hint="eastAsia" w:ascii="宋体" w:hAnsi="宋体" w:eastAsia="宋体"/>
          <w:sz w:val="24"/>
          <w:szCs w:val="24"/>
        </w:rPr>
        <w:t>6.有管理和评估质控模块，可进行全局管理、数据提取及对评估质量评分；带消息提醒功能，对下一阶段评估提醒。</w:t>
      </w:r>
    </w:p>
    <w:tbl>
      <w:tblPr>
        <w:tblStyle w:val="6"/>
        <w:tblpPr w:leftFromText="180" w:rightFromText="180" w:vertAnchor="text" w:horzAnchor="page" w:tblpX="1904" w:tblpY="807"/>
        <w:tblOverlap w:val="never"/>
        <w:tblW w:w="0" w:type="auto"/>
        <w:jc w:val="center"/>
        <w:tblLayout w:type="autofit"/>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495" w:hRule="atLeast"/>
          <w:jc w:val="center"/>
        </w:trPr>
        <w:tc>
          <w:tcPr>
            <w:tcW w:w="8522" w:type="dxa"/>
            <w:tcBorders>
              <w:top w:val="single" w:color="auto" w:sz="4" w:space="0"/>
              <w:left w:val="nil"/>
              <w:bottom w:val="nil"/>
              <w:right w:val="nil"/>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项目基本要求</w:t>
            </w:r>
          </w:p>
        </w:tc>
      </w:tr>
      <w:tr>
        <w:tblPrEx>
          <w:tblCellMar>
            <w:top w:w="0" w:type="dxa"/>
            <w:left w:w="108" w:type="dxa"/>
            <w:bottom w:w="0" w:type="dxa"/>
            <w:right w:w="108" w:type="dxa"/>
          </w:tblCellMar>
        </w:tblPrEx>
        <w:trPr>
          <w:trHeight w:val="630" w:hRule="atLeast"/>
          <w:jc w:val="center"/>
        </w:trPr>
        <w:tc>
          <w:tcPr>
            <w:tcW w:w="8522" w:type="dxa"/>
            <w:tcBorders>
              <w:top w:val="nil"/>
              <w:left w:val="nil"/>
              <w:bottom w:val="nil"/>
              <w:right w:val="nil"/>
            </w:tcBorders>
            <w:shd w:val="clear" w:color="auto" w:fill="auto"/>
            <w:noWrap/>
            <w:vAlign w:val="center"/>
          </w:tcPr>
          <w:p>
            <w:pPr>
              <w:spacing w:line="360" w:lineRule="auto"/>
              <w:rPr>
                <w:rFonts w:hint="eastAsia" w:ascii="宋体" w:hAnsi="宋体" w:eastAsia="宋体" w:cs="Helvetica"/>
                <w:color w:val="3E3E3E"/>
                <w:sz w:val="24"/>
                <w:szCs w:val="24"/>
              </w:rPr>
            </w:pPr>
            <w:r>
              <w:rPr>
                <w:rFonts w:hint="eastAsia" w:ascii="宋体" w:hAnsi="宋体" w:eastAsia="宋体" w:cs="Helvetica"/>
                <w:color w:val="3E3E3E"/>
                <w:sz w:val="24"/>
                <w:szCs w:val="24"/>
              </w:rPr>
              <w:t>1、投标人提供产品应满足如下标准：</w:t>
            </w:r>
          </w:p>
        </w:tc>
      </w:tr>
      <w:tr>
        <w:tblPrEx>
          <w:tblCellMar>
            <w:top w:w="0" w:type="dxa"/>
            <w:left w:w="108" w:type="dxa"/>
            <w:bottom w:w="0" w:type="dxa"/>
            <w:right w:w="108" w:type="dxa"/>
          </w:tblCellMar>
        </w:tblPrEx>
        <w:trPr>
          <w:trHeight w:val="750" w:hRule="atLeast"/>
          <w:jc w:val="center"/>
        </w:trPr>
        <w:tc>
          <w:tcPr>
            <w:tcW w:w="8522" w:type="dxa"/>
            <w:tcBorders>
              <w:top w:val="nil"/>
              <w:left w:val="nil"/>
              <w:bottom w:val="nil"/>
              <w:right w:val="nil"/>
            </w:tcBorders>
            <w:shd w:val="clear" w:color="auto" w:fill="auto"/>
            <w:noWrap/>
            <w:vAlign w:val="center"/>
          </w:tcPr>
          <w:p>
            <w:pPr>
              <w:spacing w:line="360" w:lineRule="auto"/>
              <w:rPr>
                <w:rFonts w:hint="eastAsia" w:ascii="宋体" w:hAnsi="宋体" w:eastAsia="宋体" w:cs="Helvetica"/>
                <w:color w:val="3E3E3E"/>
                <w:sz w:val="24"/>
                <w:szCs w:val="24"/>
              </w:rPr>
            </w:pPr>
            <w:r>
              <w:rPr>
                <w:rFonts w:hint="eastAsia" w:ascii="宋体" w:hAnsi="宋体" w:eastAsia="宋体" w:cs="Helvetica"/>
                <w:color w:val="3E3E3E"/>
                <w:sz w:val="24"/>
                <w:szCs w:val="24"/>
              </w:rPr>
              <w:t>（1）《电子病历系统功能应用水平分级评价方法及标准》六级以上</w:t>
            </w:r>
          </w:p>
        </w:tc>
      </w:tr>
      <w:tr>
        <w:tblPrEx>
          <w:tblCellMar>
            <w:top w:w="0" w:type="dxa"/>
            <w:left w:w="108" w:type="dxa"/>
            <w:bottom w:w="0" w:type="dxa"/>
            <w:right w:w="108" w:type="dxa"/>
          </w:tblCellMar>
        </w:tblPrEx>
        <w:trPr>
          <w:trHeight w:val="750" w:hRule="atLeast"/>
          <w:jc w:val="center"/>
        </w:trPr>
        <w:tc>
          <w:tcPr>
            <w:tcW w:w="8522" w:type="dxa"/>
            <w:tcBorders>
              <w:top w:val="nil"/>
              <w:left w:val="nil"/>
              <w:bottom w:val="nil"/>
              <w:right w:val="nil"/>
            </w:tcBorders>
            <w:shd w:val="clear" w:color="auto" w:fill="auto"/>
            <w:noWrap/>
            <w:vAlign w:val="center"/>
          </w:tcPr>
          <w:p>
            <w:pPr>
              <w:spacing w:line="360" w:lineRule="auto"/>
              <w:rPr>
                <w:rFonts w:hint="eastAsia" w:ascii="宋体" w:hAnsi="宋体" w:eastAsia="宋体" w:cs="Helvetica"/>
                <w:color w:val="3E3E3E"/>
                <w:sz w:val="24"/>
                <w:szCs w:val="24"/>
              </w:rPr>
            </w:pPr>
            <w:r>
              <w:rPr>
                <w:rFonts w:hint="eastAsia" w:ascii="宋体" w:hAnsi="宋体" w:eastAsia="宋体" w:cs="Helvetica"/>
                <w:color w:val="3E3E3E"/>
                <w:sz w:val="24"/>
                <w:szCs w:val="24"/>
              </w:rPr>
              <w:t>（2）《医院信息互联互通标准化成熟度测评方案》四级甲等以上</w:t>
            </w:r>
          </w:p>
        </w:tc>
      </w:tr>
      <w:tr>
        <w:tblPrEx>
          <w:tblCellMar>
            <w:top w:w="0" w:type="dxa"/>
            <w:left w:w="108" w:type="dxa"/>
            <w:bottom w:w="0" w:type="dxa"/>
            <w:right w:w="108" w:type="dxa"/>
          </w:tblCellMar>
        </w:tblPrEx>
        <w:trPr>
          <w:trHeight w:val="750" w:hRule="atLeast"/>
          <w:jc w:val="center"/>
        </w:trPr>
        <w:tc>
          <w:tcPr>
            <w:tcW w:w="8522" w:type="dxa"/>
            <w:tcBorders>
              <w:top w:val="nil"/>
              <w:left w:val="nil"/>
              <w:bottom w:val="nil"/>
              <w:right w:val="nil"/>
            </w:tcBorders>
            <w:shd w:val="clear" w:color="auto" w:fill="auto"/>
            <w:noWrap/>
            <w:vAlign w:val="center"/>
          </w:tcPr>
          <w:p>
            <w:pPr>
              <w:spacing w:line="360" w:lineRule="auto"/>
              <w:rPr>
                <w:rFonts w:hint="eastAsia" w:ascii="宋体" w:hAnsi="宋体" w:eastAsia="宋体" w:cs="Helvetica"/>
                <w:color w:val="3E3E3E"/>
                <w:sz w:val="24"/>
                <w:szCs w:val="24"/>
              </w:rPr>
            </w:pPr>
            <w:r>
              <w:rPr>
                <w:rFonts w:hint="eastAsia" w:ascii="宋体" w:hAnsi="宋体" w:eastAsia="宋体" w:cs="Helvetica"/>
                <w:color w:val="3E3E3E"/>
                <w:sz w:val="24"/>
                <w:szCs w:val="24"/>
              </w:rPr>
              <w:t>（3）《医院智慧服务分级评估标准体系》三级以上</w:t>
            </w:r>
          </w:p>
        </w:tc>
      </w:tr>
      <w:tr>
        <w:tblPrEx>
          <w:tblCellMar>
            <w:top w:w="0" w:type="dxa"/>
            <w:left w:w="108" w:type="dxa"/>
            <w:bottom w:w="0" w:type="dxa"/>
            <w:right w:w="108" w:type="dxa"/>
          </w:tblCellMar>
        </w:tblPrEx>
        <w:trPr>
          <w:trHeight w:val="750" w:hRule="atLeast"/>
          <w:jc w:val="center"/>
        </w:trPr>
        <w:tc>
          <w:tcPr>
            <w:tcW w:w="8522" w:type="dxa"/>
            <w:tcBorders>
              <w:top w:val="nil"/>
              <w:left w:val="nil"/>
              <w:bottom w:val="nil"/>
              <w:right w:val="nil"/>
            </w:tcBorders>
            <w:shd w:val="clear" w:color="auto" w:fill="auto"/>
            <w:noWrap/>
            <w:vAlign w:val="center"/>
          </w:tcPr>
          <w:p>
            <w:pPr>
              <w:spacing w:line="360" w:lineRule="auto"/>
              <w:rPr>
                <w:rFonts w:hint="eastAsia" w:ascii="宋体" w:hAnsi="宋体" w:eastAsia="宋体" w:cs="Helvetica"/>
                <w:color w:val="3E3E3E"/>
                <w:sz w:val="24"/>
                <w:szCs w:val="24"/>
              </w:rPr>
            </w:pPr>
            <w:r>
              <w:rPr>
                <w:rFonts w:hint="eastAsia" w:ascii="宋体" w:hAnsi="宋体" w:eastAsia="宋体" w:cs="Helvetica"/>
                <w:color w:val="3E3E3E"/>
                <w:sz w:val="24"/>
                <w:szCs w:val="24"/>
              </w:rPr>
              <w:t>（4）《医院智慧管理分级评估标准体系》三级以上</w:t>
            </w:r>
          </w:p>
        </w:tc>
      </w:tr>
      <w:tr>
        <w:tblPrEx>
          <w:tblCellMar>
            <w:top w:w="0" w:type="dxa"/>
            <w:left w:w="108" w:type="dxa"/>
            <w:bottom w:w="0" w:type="dxa"/>
            <w:right w:w="108" w:type="dxa"/>
          </w:tblCellMar>
        </w:tblPrEx>
        <w:trPr>
          <w:trHeight w:val="750" w:hRule="atLeast"/>
          <w:jc w:val="center"/>
        </w:trPr>
        <w:tc>
          <w:tcPr>
            <w:tcW w:w="8522" w:type="dxa"/>
            <w:tcBorders>
              <w:top w:val="nil"/>
              <w:left w:val="nil"/>
              <w:bottom w:val="nil"/>
              <w:right w:val="nil"/>
            </w:tcBorders>
            <w:shd w:val="clear" w:color="auto" w:fill="auto"/>
            <w:noWrap/>
            <w:vAlign w:val="center"/>
          </w:tcPr>
          <w:p>
            <w:pPr>
              <w:spacing w:line="360" w:lineRule="auto"/>
              <w:rPr>
                <w:rFonts w:hint="eastAsia" w:ascii="宋体" w:hAnsi="宋体" w:eastAsia="宋体" w:cs="Helvetica"/>
                <w:color w:val="3E3E3E"/>
                <w:sz w:val="24"/>
                <w:szCs w:val="24"/>
              </w:rPr>
            </w:pPr>
            <w:r>
              <w:rPr>
                <w:rFonts w:hint="eastAsia" w:ascii="宋体" w:hAnsi="宋体" w:eastAsia="宋体" w:cs="Helvetica"/>
                <w:color w:val="3E3E3E"/>
                <w:sz w:val="24"/>
                <w:szCs w:val="24"/>
              </w:rPr>
              <w:t>（5）《信息安全技术网络安全等级保护基本要求》三级</w:t>
            </w:r>
          </w:p>
        </w:tc>
      </w:tr>
      <w:tr>
        <w:tblPrEx>
          <w:tblCellMar>
            <w:top w:w="0" w:type="dxa"/>
            <w:left w:w="108" w:type="dxa"/>
            <w:bottom w:w="0" w:type="dxa"/>
            <w:right w:w="108" w:type="dxa"/>
          </w:tblCellMar>
        </w:tblPrEx>
        <w:trPr>
          <w:trHeight w:val="750" w:hRule="atLeast"/>
          <w:jc w:val="center"/>
        </w:trPr>
        <w:tc>
          <w:tcPr>
            <w:tcW w:w="8522" w:type="dxa"/>
            <w:tcBorders>
              <w:top w:val="nil"/>
              <w:left w:val="nil"/>
              <w:bottom w:val="nil"/>
              <w:right w:val="nil"/>
            </w:tcBorders>
            <w:shd w:val="clear" w:color="auto" w:fill="auto"/>
            <w:noWrap/>
            <w:vAlign w:val="center"/>
          </w:tcPr>
          <w:p>
            <w:pPr>
              <w:spacing w:line="360" w:lineRule="auto"/>
              <w:rPr>
                <w:rFonts w:hint="eastAsia" w:ascii="宋体" w:hAnsi="宋体" w:eastAsia="宋体" w:cs="Helvetica"/>
                <w:color w:val="3E3E3E"/>
                <w:sz w:val="24"/>
                <w:szCs w:val="24"/>
              </w:rPr>
            </w:pPr>
            <w:r>
              <w:rPr>
                <w:rFonts w:hint="eastAsia" w:ascii="宋体" w:hAnsi="宋体" w:eastAsia="宋体" w:cs="Helvetica"/>
                <w:color w:val="3E3E3E"/>
                <w:sz w:val="24"/>
                <w:szCs w:val="24"/>
              </w:rPr>
              <w:t>（6）《医院信息系统基本功能规范》</w:t>
            </w:r>
          </w:p>
        </w:tc>
      </w:tr>
      <w:tr>
        <w:tblPrEx>
          <w:tblCellMar>
            <w:top w:w="0" w:type="dxa"/>
            <w:left w:w="108" w:type="dxa"/>
            <w:bottom w:w="0" w:type="dxa"/>
            <w:right w:w="108" w:type="dxa"/>
          </w:tblCellMar>
        </w:tblPrEx>
        <w:trPr>
          <w:trHeight w:val="750" w:hRule="atLeast"/>
          <w:jc w:val="center"/>
        </w:trPr>
        <w:tc>
          <w:tcPr>
            <w:tcW w:w="8522" w:type="dxa"/>
            <w:tcBorders>
              <w:top w:val="nil"/>
              <w:left w:val="nil"/>
              <w:bottom w:val="nil"/>
              <w:right w:val="nil"/>
            </w:tcBorders>
            <w:shd w:val="clear" w:color="auto" w:fill="auto"/>
            <w:noWrap/>
            <w:vAlign w:val="center"/>
          </w:tcPr>
          <w:p>
            <w:pPr>
              <w:spacing w:line="360" w:lineRule="auto"/>
              <w:rPr>
                <w:rFonts w:hint="eastAsia" w:ascii="宋体" w:hAnsi="宋体" w:eastAsia="宋体" w:cs="Helvetica"/>
                <w:color w:val="3E3E3E"/>
                <w:sz w:val="24"/>
                <w:szCs w:val="24"/>
              </w:rPr>
            </w:pPr>
            <w:r>
              <w:rPr>
                <w:rFonts w:hint="eastAsia" w:ascii="宋体" w:hAnsi="宋体" w:eastAsia="宋体" w:cs="Helvetica"/>
                <w:color w:val="3E3E3E"/>
                <w:sz w:val="24"/>
                <w:szCs w:val="24"/>
              </w:rPr>
              <w:t>（7）《中医医院信息系统基本功能规范》</w:t>
            </w:r>
          </w:p>
        </w:tc>
      </w:tr>
      <w:tr>
        <w:tblPrEx>
          <w:tblCellMar>
            <w:top w:w="0" w:type="dxa"/>
            <w:left w:w="108" w:type="dxa"/>
            <w:bottom w:w="0" w:type="dxa"/>
            <w:right w:w="108" w:type="dxa"/>
          </w:tblCellMar>
        </w:tblPrEx>
        <w:trPr>
          <w:trHeight w:val="750" w:hRule="atLeast"/>
          <w:jc w:val="center"/>
        </w:trPr>
        <w:tc>
          <w:tcPr>
            <w:tcW w:w="8522" w:type="dxa"/>
            <w:tcBorders>
              <w:top w:val="nil"/>
              <w:left w:val="nil"/>
              <w:bottom w:val="nil"/>
              <w:right w:val="nil"/>
            </w:tcBorders>
            <w:shd w:val="clear" w:color="auto" w:fill="auto"/>
            <w:noWrap/>
            <w:vAlign w:val="center"/>
          </w:tcPr>
          <w:p>
            <w:pPr>
              <w:spacing w:line="360" w:lineRule="auto"/>
              <w:rPr>
                <w:rFonts w:hint="eastAsia" w:ascii="宋体" w:hAnsi="宋体" w:eastAsia="宋体" w:cs="Helvetica"/>
                <w:color w:val="3E3E3E"/>
                <w:sz w:val="24"/>
                <w:szCs w:val="24"/>
              </w:rPr>
            </w:pPr>
            <w:r>
              <w:rPr>
                <w:rFonts w:hint="eastAsia" w:ascii="宋体" w:hAnsi="宋体" w:eastAsia="宋体" w:cs="Helvetica"/>
                <w:color w:val="3E3E3E"/>
                <w:sz w:val="24"/>
                <w:szCs w:val="24"/>
              </w:rPr>
              <w:t>（8）《全国医院信息化建设标准与规范》</w:t>
            </w:r>
          </w:p>
        </w:tc>
      </w:tr>
      <w:tr>
        <w:tblPrEx>
          <w:tblCellMar>
            <w:top w:w="0" w:type="dxa"/>
            <w:left w:w="108" w:type="dxa"/>
            <w:bottom w:w="0" w:type="dxa"/>
            <w:right w:w="108" w:type="dxa"/>
          </w:tblCellMar>
        </w:tblPrEx>
        <w:trPr>
          <w:trHeight w:val="750" w:hRule="atLeast"/>
          <w:jc w:val="center"/>
        </w:trPr>
        <w:tc>
          <w:tcPr>
            <w:tcW w:w="8522" w:type="dxa"/>
            <w:tcBorders>
              <w:top w:val="nil"/>
              <w:left w:val="nil"/>
              <w:bottom w:val="nil"/>
              <w:right w:val="nil"/>
            </w:tcBorders>
            <w:shd w:val="clear" w:color="auto" w:fill="auto"/>
            <w:noWrap/>
            <w:vAlign w:val="center"/>
          </w:tcPr>
          <w:p>
            <w:pPr>
              <w:spacing w:line="360" w:lineRule="auto"/>
              <w:rPr>
                <w:rFonts w:hint="eastAsia" w:ascii="宋体" w:hAnsi="宋体" w:eastAsia="宋体" w:cs="Helvetica"/>
                <w:color w:val="3E3E3E"/>
                <w:sz w:val="24"/>
                <w:szCs w:val="24"/>
              </w:rPr>
            </w:pPr>
            <w:r>
              <w:rPr>
                <w:rFonts w:hint="eastAsia" w:ascii="宋体" w:hAnsi="宋体" w:eastAsia="宋体" w:cs="Helvetica"/>
                <w:color w:val="3E3E3E"/>
                <w:sz w:val="24"/>
                <w:szCs w:val="24"/>
              </w:rPr>
              <w:t>（9）《卫生系统电子认证服务规范》</w:t>
            </w:r>
          </w:p>
        </w:tc>
      </w:tr>
      <w:tr>
        <w:tblPrEx>
          <w:tblCellMar>
            <w:top w:w="0" w:type="dxa"/>
            <w:left w:w="108" w:type="dxa"/>
            <w:bottom w:w="0" w:type="dxa"/>
            <w:right w:w="108" w:type="dxa"/>
          </w:tblCellMar>
        </w:tblPrEx>
        <w:trPr>
          <w:trHeight w:val="750" w:hRule="atLeast"/>
          <w:jc w:val="center"/>
        </w:trPr>
        <w:tc>
          <w:tcPr>
            <w:tcW w:w="8522" w:type="dxa"/>
            <w:tcBorders>
              <w:top w:val="nil"/>
              <w:left w:val="nil"/>
              <w:bottom w:val="nil"/>
              <w:right w:val="nil"/>
            </w:tcBorders>
            <w:shd w:val="clear" w:color="auto" w:fill="auto"/>
            <w:noWrap/>
            <w:vAlign w:val="center"/>
          </w:tcPr>
          <w:p>
            <w:pPr>
              <w:spacing w:line="360" w:lineRule="auto"/>
              <w:rPr>
                <w:rFonts w:hint="eastAsia" w:ascii="宋体" w:hAnsi="宋体" w:eastAsia="宋体" w:cs="Helvetica"/>
                <w:color w:val="3E3E3E"/>
                <w:sz w:val="24"/>
                <w:szCs w:val="24"/>
              </w:rPr>
            </w:pPr>
            <w:r>
              <w:rPr>
                <w:rFonts w:hint="eastAsia" w:ascii="宋体" w:hAnsi="宋体" w:eastAsia="宋体" w:cs="Helvetica"/>
                <w:color w:val="3E3E3E"/>
                <w:sz w:val="24"/>
                <w:szCs w:val="24"/>
              </w:rPr>
              <w:t>（10）《三级中医医院评审标准》</w:t>
            </w:r>
          </w:p>
        </w:tc>
      </w:tr>
      <w:tr>
        <w:tblPrEx>
          <w:tblCellMar>
            <w:top w:w="0" w:type="dxa"/>
            <w:left w:w="108" w:type="dxa"/>
            <w:bottom w:w="0" w:type="dxa"/>
            <w:right w:w="108" w:type="dxa"/>
          </w:tblCellMar>
        </w:tblPrEx>
        <w:trPr>
          <w:trHeight w:val="750" w:hRule="atLeast"/>
          <w:jc w:val="center"/>
        </w:trPr>
        <w:tc>
          <w:tcPr>
            <w:tcW w:w="8522" w:type="dxa"/>
            <w:tcBorders>
              <w:top w:val="nil"/>
              <w:left w:val="nil"/>
              <w:bottom w:val="nil"/>
              <w:right w:val="nil"/>
            </w:tcBorders>
            <w:shd w:val="clear" w:color="auto" w:fill="auto"/>
            <w:noWrap/>
            <w:vAlign w:val="center"/>
          </w:tcPr>
          <w:p>
            <w:pPr>
              <w:spacing w:line="360" w:lineRule="auto"/>
              <w:rPr>
                <w:rFonts w:hint="eastAsia" w:ascii="宋体" w:hAnsi="宋体" w:eastAsia="宋体" w:cs="Helvetica"/>
                <w:color w:val="3E3E3E"/>
                <w:sz w:val="24"/>
                <w:szCs w:val="24"/>
              </w:rPr>
            </w:pPr>
            <w:r>
              <w:rPr>
                <w:rFonts w:hint="eastAsia" w:ascii="宋体" w:hAnsi="宋体" w:eastAsia="宋体" w:cs="Helvetica"/>
                <w:color w:val="3E3E3E"/>
                <w:sz w:val="24"/>
                <w:szCs w:val="24"/>
              </w:rPr>
              <w:t>（11）《信息安全技术个人信息安全规范》</w:t>
            </w:r>
          </w:p>
        </w:tc>
      </w:tr>
      <w:tr>
        <w:tblPrEx>
          <w:tblCellMar>
            <w:top w:w="0" w:type="dxa"/>
            <w:left w:w="108" w:type="dxa"/>
            <w:bottom w:w="0" w:type="dxa"/>
            <w:right w:w="108" w:type="dxa"/>
          </w:tblCellMar>
        </w:tblPrEx>
        <w:trPr>
          <w:trHeight w:val="750" w:hRule="atLeast"/>
          <w:jc w:val="center"/>
        </w:trPr>
        <w:tc>
          <w:tcPr>
            <w:tcW w:w="8522" w:type="dxa"/>
            <w:tcBorders>
              <w:top w:val="nil"/>
              <w:left w:val="nil"/>
              <w:bottom w:val="nil"/>
              <w:right w:val="nil"/>
            </w:tcBorders>
            <w:shd w:val="clear" w:color="auto" w:fill="auto"/>
            <w:noWrap/>
            <w:vAlign w:val="center"/>
          </w:tcPr>
          <w:p>
            <w:pPr>
              <w:spacing w:line="360" w:lineRule="auto"/>
              <w:rPr>
                <w:rFonts w:hint="eastAsia" w:ascii="宋体" w:hAnsi="宋体" w:eastAsia="宋体" w:cs="Helvetica"/>
                <w:color w:val="3E3E3E"/>
                <w:sz w:val="24"/>
                <w:szCs w:val="24"/>
              </w:rPr>
            </w:pPr>
            <w:r>
              <w:rPr>
                <w:rFonts w:hint="eastAsia" w:ascii="宋体" w:hAnsi="宋体" w:eastAsia="宋体" w:cs="Helvetica"/>
                <w:color w:val="3E3E3E"/>
                <w:sz w:val="24"/>
                <w:szCs w:val="24"/>
              </w:rPr>
              <w:t>（12）所有系统能够按照相关标准（和/或甲方要求）由供应商免费接入医院信息集成平台。</w:t>
            </w:r>
          </w:p>
        </w:tc>
      </w:tr>
    </w:tbl>
    <w:p>
      <w:pPr>
        <w:spacing w:line="360" w:lineRule="auto"/>
        <w:rPr>
          <w:rFonts w:hint="eastAsia" w:ascii="宋体" w:hAnsi="宋体" w:eastAsia="宋体"/>
          <w:sz w:val="24"/>
          <w:szCs w:val="24"/>
        </w:rPr>
      </w:pPr>
      <w:r>
        <w:rPr>
          <w:rFonts w:hint="eastAsia" w:ascii="宋体" w:hAnsi="宋体" w:eastAsia="宋体"/>
          <w:sz w:val="24"/>
          <w:szCs w:val="24"/>
        </w:rPr>
        <w:t>7.完全自主知识产权，有专业软件工程师定期系统维护及升级。</w:t>
      </w:r>
    </w:p>
    <w:p>
      <w:pPr>
        <w:widowControl/>
        <w:jc w:val="left"/>
        <w:rPr>
          <w:rFonts w:hint="eastAsia" w:ascii="仿宋" w:hAnsi="仿宋" w:eastAsia="仿宋" w:cs="仿宋"/>
          <w:szCs w:val="21"/>
        </w:rPr>
      </w:pPr>
    </w:p>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Helvetica"/>
          <w:color w:val="3E3E3E"/>
          <w:kern w:val="2"/>
          <w:sz w:val="24"/>
          <w:szCs w:val="24"/>
          <w:lang w:val="en-US" w:eastAsia="zh-CN" w:bidi="ar-SA"/>
        </w:rPr>
      </w:pPr>
      <w:r>
        <w:rPr>
          <w:rFonts w:hint="eastAsia" w:ascii="宋体" w:hAnsi="宋体" w:eastAsia="宋体" w:cs="Helvetica"/>
          <w:color w:val="3E3E3E"/>
          <w:kern w:val="2"/>
          <w:sz w:val="24"/>
          <w:szCs w:val="24"/>
          <w:lang w:val="en-US" w:eastAsia="zh-CN" w:bidi="ar-SA"/>
        </w:rPr>
        <w:t>二、商务需求：</w:t>
      </w:r>
    </w:p>
    <w:p>
      <w:pPr>
        <w:spacing w:line="360" w:lineRule="auto"/>
        <w:rPr>
          <w:rFonts w:hint="eastAsia" w:ascii="宋体" w:hAnsi="宋体" w:eastAsia="宋体"/>
          <w:sz w:val="24"/>
          <w:szCs w:val="24"/>
          <w:lang w:val="en-US" w:eastAsia="zh-CN"/>
        </w:rPr>
      </w:pPr>
      <w:r>
        <w:rPr>
          <w:rFonts w:hint="eastAsia" w:ascii="宋体" w:hAnsi="宋体" w:eastAsia="宋体"/>
          <w:sz w:val="24"/>
          <w:szCs w:val="24"/>
          <w:lang w:val="en-US" w:eastAsia="zh-CN"/>
        </w:rPr>
        <w:t>1.本项目为采购人的智慧医院信息化建设的子项目，本项目为交钥匙工程，投标价应为人民币含税全包价，投标价格为固定价格，包括但不限于以下费用：</w:t>
      </w:r>
    </w:p>
    <w:p>
      <w:pPr>
        <w:spacing w:line="360" w:lineRule="auto"/>
        <w:rPr>
          <w:rFonts w:hint="eastAsia" w:ascii="宋体" w:hAnsi="宋体" w:eastAsia="宋体"/>
          <w:sz w:val="24"/>
          <w:szCs w:val="24"/>
          <w:lang w:val="en-US" w:eastAsia="zh-CN"/>
        </w:rPr>
      </w:pPr>
      <w:r>
        <w:rPr>
          <w:rFonts w:hint="eastAsia" w:ascii="宋体" w:hAnsi="宋体" w:eastAsia="宋体"/>
          <w:sz w:val="24"/>
          <w:szCs w:val="24"/>
          <w:lang w:val="en-US" w:eastAsia="zh-CN"/>
        </w:rPr>
        <w:t>（1）完整的产品软件、技术文件的费用、系统的设计、开发测试、安装调试技术服务费用及所发生相应的费用；</w:t>
      </w:r>
    </w:p>
    <w:p>
      <w:pPr>
        <w:spacing w:line="360" w:lineRule="auto"/>
        <w:rPr>
          <w:rFonts w:hint="eastAsia" w:ascii="宋体" w:hAnsi="宋体" w:eastAsia="宋体"/>
          <w:sz w:val="24"/>
          <w:szCs w:val="24"/>
          <w:lang w:val="en-US" w:eastAsia="zh-CN"/>
        </w:rPr>
      </w:pPr>
      <w:r>
        <w:rPr>
          <w:rFonts w:hint="eastAsia" w:ascii="宋体" w:hAnsi="宋体" w:eastAsia="宋体"/>
          <w:sz w:val="24"/>
          <w:szCs w:val="24"/>
          <w:lang w:val="en-US" w:eastAsia="zh-CN"/>
        </w:rPr>
        <w:t>（2）软件永久许可使用费；</w:t>
      </w:r>
    </w:p>
    <w:p>
      <w:pPr>
        <w:spacing w:line="360" w:lineRule="auto"/>
        <w:rPr>
          <w:rFonts w:hint="eastAsia" w:ascii="宋体" w:hAnsi="宋体" w:eastAsia="宋体"/>
          <w:sz w:val="24"/>
          <w:szCs w:val="24"/>
          <w:lang w:val="en-US" w:eastAsia="zh-CN"/>
        </w:rPr>
      </w:pPr>
      <w:r>
        <w:rPr>
          <w:rFonts w:hint="eastAsia" w:ascii="宋体" w:hAnsi="宋体" w:eastAsia="宋体"/>
          <w:sz w:val="24"/>
          <w:szCs w:val="24"/>
          <w:lang w:val="en-US" w:eastAsia="zh-CN"/>
        </w:rPr>
        <w:t>（3）质保期内的服务费用和升级改造费用；</w:t>
      </w:r>
    </w:p>
    <w:p>
      <w:pPr>
        <w:spacing w:line="360" w:lineRule="auto"/>
        <w:rPr>
          <w:rFonts w:hint="eastAsia" w:ascii="宋体" w:hAnsi="宋体" w:eastAsia="宋体"/>
          <w:sz w:val="24"/>
          <w:szCs w:val="24"/>
          <w:lang w:val="en-US" w:eastAsia="zh-CN"/>
        </w:rPr>
      </w:pPr>
      <w:r>
        <w:rPr>
          <w:rFonts w:hint="eastAsia" w:ascii="宋体" w:hAnsi="宋体" w:eastAsia="宋体"/>
          <w:sz w:val="24"/>
          <w:szCs w:val="24"/>
          <w:lang w:val="en-US" w:eastAsia="zh-CN"/>
        </w:rPr>
        <w:t>（4）系统培训、验收、售后服务、智慧医院建设目标测评所需的费用及相关服务等一切费用；</w:t>
      </w:r>
    </w:p>
    <w:p>
      <w:pPr>
        <w:spacing w:line="360" w:lineRule="auto"/>
        <w:rPr>
          <w:rFonts w:hint="eastAsia" w:ascii="宋体" w:hAnsi="宋体" w:eastAsia="宋体"/>
          <w:sz w:val="24"/>
          <w:szCs w:val="24"/>
          <w:lang w:val="en-US" w:eastAsia="zh-CN"/>
        </w:rPr>
      </w:pPr>
      <w:r>
        <w:rPr>
          <w:rFonts w:hint="eastAsia" w:ascii="宋体" w:hAnsi="宋体" w:eastAsia="宋体"/>
          <w:sz w:val="24"/>
          <w:szCs w:val="24"/>
          <w:lang w:val="en-US" w:eastAsia="zh-CN"/>
        </w:rPr>
        <w:t>（5）与医院信息系统间的接口开发、对接医院现有信息系统及日后智慧医院信息系统接入平台升级改造涉及的所有费用均由中标人支付，确保项目达到智慧项目目标，采购人不再支付任何其他费用；</w:t>
      </w:r>
    </w:p>
    <w:p>
      <w:pPr>
        <w:spacing w:line="360" w:lineRule="auto"/>
        <w:rPr>
          <w:rFonts w:hint="eastAsia" w:ascii="宋体" w:hAnsi="宋体" w:eastAsia="宋体"/>
          <w:sz w:val="24"/>
          <w:szCs w:val="24"/>
          <w:lang w:val="en-US" w:eastAsia="zh-CN"/>
        </w:rPr>
      </w:pPr>
      <w:r>
        <w:rPr>
          <w:rFonts w:hint="eastAsia" w:ascii="宋体" w:hAnsi="宋体" w:eastAsia="宋体"/>
          <w:sz w:val="24"/>
          <w:szCs w:val="24"/>
          <w:lang w:val="en-US" w:eastAsia="zh-CN"/>
        </w:rPr>
        <w:t>（6）正常运行系统并达到需求标准所需的专用硬件和相关系统软件（服务器、存储设备、负载均衡设备和数据库软件除外），专用硬件包括但不限于采集卡、控制器、连接线、转接线、接口转换器、网卡、网线等；相关系统软件包括实现功能清单功能的系统软件、实现功能需求和智慧医院建设目标必须具备的辅助软件，如虚拟化软件、备份软件、管理工具等，无需再额外采购其它软硬件。</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Helvetica"/>
          <w:color w:val="3E3E3E"/>
          <w:kern w:val="2"/>
          <w:sz w:val="24"/>
          <w:szCs w:val="24"/>
          <w:lang w:val="en-US" w:eastAsia="zh-CN" w:bidi="ar-SA"/>
        </w:rPr>
      </w:pPr>
      <w:r>
        <w:rPr>
          <w:rFonts w:hint="eastAsia" w:ascii="宋体" w:hAnsi="宋体" w:eastAsia="宋体" w:cs="Helvetica"/>
          <w:color w:val="3E3E3E"/>
          <w:kern w:val="2"/>
          <w:sz w:val="24"/>
          <w:szCs w:val="24"/>
          <w:lang w:val="en-US" w:eastAsia="zh-CN" w:bidi="ar-SA"/>
        </w:rPr>
        <w:t>（7）为完成本项目义务所需支付的其他费用。</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Helvetica"/>
          <w:color w:val="3E3E3E"/>
          <w:kern w:val="2"/>
          <w:sz w:val="24"/>
          <w:szCs w:val="24"/>
          <w:lang w:val="en-US" w:eastAsia="zh-CN" w:bidi="ar-SA"/>
        </w:rPr>
      </w:pPr>
      <w:r>
        <w:rPr>
          <w:rFonts w:hint="eastAsia" w:ascii="宋体" w:hAnsi="宋体" w:eastAsia="宋体" w:cs="Helvetica"/>
          <w:color w:val="3E3E3E"/>
          <w:kern w:val="2"/>
          <w:sz w:val="24"/>
          <w:szCs w:val="24"/>
          <w:lang w:val="en-US" w:eastAsia="zh-CN" w:bidi="ar-SA"/>
        </w:rPr>
        <w:t>2.免费维保期不少于2年，维保期结束后维保费用不超合同总价7%</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BCE"/>
    <w:rsid w:val="00194BCE"/>
    <w:rsid w:val="004E327B"/>
    <w:rsid w:val="00763DC1"/>
    <w:rsid w:val="008D04D7"/>
    <w:rsid w:val="00980A43"/>
    <w:rsid w:val="00AA798D"/>
    <w:rsid w:val="00AF0C54"/>
    <w:rsid w:val="00BA58FB"/>
    <w:rsid w:val="00E31A84"/>
    <w:rsid w:val="13512B19"/>
    <w:rsid w:val="19E3384E"/>
    <w:rsid w:val="2BD57D0C"/>
    <w:rsid w:val="3EF7552B"/>
    <w:rsid w:val="4C12110E"/>
    <w:rsid w:val="525464A2"/>
    <w:rsid w:val="6C6F3DFE"/>
    <w:rsid w:val="6F3F1A63"/>
    <w:rsid w:val="700B17D2"/>
    <w:rsid w:val="7A301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1"/>
    <w:unhideWhenUsed/>
    <w:qFormat/>
    <w:uiPriority w:val="99"/>
    <w:pPr>
      <w:widowControl/>
      <w:spacing w:after="160" w:line="259" w:lineRule="auto"/>
      <w:jc w:val="left"/>
    </w:pPr>
    <w:rPr>
      <w:rFonts w:ascii="Calibri" w:hAnsi="Calibri" w:eastAsia="宋体" w:cs="Times New Roman"/>
      <w:kern w:val="0"/>
      <w:sz w:val="2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正文正"/>
    <w:basedOn w:val="1"/>
    <w:qFormat/>
    <w:uiPriority w:val="0"/>
    <w:pPr>
      <w:spacing w:line="560" w:lineRule="exact"/>
      <w:ind w:firstLine="561"/>
    </w:pPr>
    <w:rPr>
      <w:rFonts w:ascii="Times New Roman" w:hAnsi="Times New Roman" w:eastAsia="仿宋_GB2312" w:cs="Times New Roman"/>
      <w:spacing w:val="14"/>
      <w:sz w:val="28"/>
      <w:szCs w:val="24"/>
    </w:rPr>
  </w:style>
  <w:style w:type="character" w:customStyle="1" w:styleId="11">
    <w:name w:val="批注文字 Char"/>
    <w:basedOn w:val="7"/>
    <w:link w:val="2"/>
    <w:qFormat/>
    <w:uiPriority w:val="99"/>
    <w:rPr>
      <w:rFonts w:ascii="Calibri" w:hAnsi="Calibri" w:eastAsia="宋体" w:cs="Times New Roman"/>
      <w:kern w:val="0"/>
      <w:sz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179</Words>
  <Characters>1022</Characters>
  <Lines>8</Lines>
  <Paragraphs>2</Paragraphs>
  <TotalTime>0</TotalTime>
  <ScaleCrop>false</ScaleCrop>
  <LinksUpToDate>false</LinksUpToDate>
  <CharactersWithSpaces>1199</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2023-09-14T03:27:00Z</dcterms:created>
  <dc:creator>zyy</dc:creator>
  <cp:lastModifiedBy>1</cp:lastModifiedBy>
  <dcterms:modified xsi:type="dcterms:W3CDTF">2023-12-06T00:23:04Z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