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b/>
          <w:sz w:val="32"/>
          <w:szCs w:val="32"/>
        </w:rPr>
      </w:pPr>
      <w:r>
        <w:rPr>
          <w:rFonts w:hint="eastAsia"/>
          <w:b/>
          <w:sz w:val="32"/>
          <w:szCs w:val="32"/>
        </w:rPr>
        <w:t>项目采购需求</w:t>
      </w:r>
    </w:p>
    <w:p>
      <w:pPr>
        <w:widowControl/>
        <w:jc w:val="left"/>
        <w:rPr>
          <w:sz w:val="24"/>
        </w:rPr>
      </w:pPr>
      <w:r>
        <w:rPr>
          <w:rFonts w:hint="eastAsia"/>
          <w:b/>
          <w:sz w:val="24"/>
        </w:rPr>
        <w:t>一、项目基本情况</w:t>
      </w:r>
    </w:p>
    <w:p>
      <w:pPr>
        <w:spacing w:line="360" w:lineRule="auto"/>
        <w:ind w:firstLine="420" w:firstLineChars="200"/>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、项目名称：</w:t>
      </w:r>
      <w:r>
        <w:rPr>
          <w:rFonts w:hint="eastAsia"/>
          <w:sz w:val="24"/>
          <w:szCs w:val="24"/>
        </w:rPr>
        <w:t>中山市中医院网络交换机</w:t>
      </w:r>
      <w:r>
        <w:rPr>
          <w:sz w:val="24"/>
          <w:szCs w:val="24"/>
        </w:rPr>
        <w:t>采购</w:t>
      </w:r>
      <w:r>
        <w:rPr>
          <w:rFonts w:hint="eastAsia"/>
          <w:sz w:val="24"/>
          <w:szCs w:val="24"/>
        </w:rPr>
        <w:t>项目</w:t>
      </w:r>
    </w:p>
    <w:p>
      <w:pPr>
        <w:spacing w:line="360" w:lineRule="auto"/>
        <w:ind w:firstLine="420" w:firstLineChars="200"/>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、项目内容：医院业务量增加，原有接入层网络交换机端口不够、带宽不足，加上部份原来设备老化，影响业务发展，为满足业务发展及正常运行要求，现需采购一批网络交换机进行扩容升级。</w:t>
      </w:r>
    </w:p>
    <w:p>
      <w:pPr>
        <w:widowControl/>
        <w:spacing w:line="360" w:lineRule="auto"/>
        <w:ind w:firstLine="420" w:firstLineChars="200"/>
        <w:jc w:val="left"/>
        <w:rPr>
          <w:rFonts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rPr>
        <w:t>、项目上限价：￥</w:t>
      </w:r>
      <w:r>
        <w:rPr>
          <w:rFonts w:asciiTheme="minorEastAsia" w:hAnsiTheme="minorEastAsia" w:eastAsiaTheme="minorEastAsia"/>
        </w:rPr>
        <w:t>700104</w:t>
      </w:r>
      <w:r>
        <w:rPr>
          <w:rFonts w:hint="eastAsia" w:asciiTheme="minorEastAsia" w:hAnsiTheme="minorEastAsia" w:eastAsiaTheme="minorEastAsia"/>
        </w:rPr>
        <w:t>元，超过采购上限价的属于无效响应。</w:t>
      </w:r>
    </w:p>
    <w:p>
      <w:pPr>
        <w:widowControl/>
        <w:tabs>
          <w:tab w:val="center" w:pos="4363"/>
        </w:tabs>
        <w:spacing w:line="360" w:lineRule="auto"/>
        <w:ind w:firstLine="420" w:firstLineChars="200"/>
        <w:jc w:val="left"/>
        <w:rPr>
          <w:rFonts w:cs="宋体" w:asciiTheme="minorEastAsia" w:hAnsiTheme="minorEastAsia" w:eastAsiaTheme="minorEastAsia"/>
          <w:szCs w:val="21"/>
        </w:rPr>
      </w:pPr>
      <w:r>
        <w:rPr>
          <w:rFonts w:hint="eastAsia" w:asciiTheme="minorEastAsia" w:hAnsiTheme="minorEastAsia" w:eastAsiaTheme="minorEastAsia"/>
        </w:rPr>
        <w:t>4</w:t>
      </w:r>
      <w:r>
        <w:rPr>
          <w:rFonts w:hint="eastAsia" w:cs="宋体" w:asciiTheme="minorEastAsia" w:hAnsiTheme="minorEastAsia" w:eastAsiaTheme="minorEastAsia"/>
          <w:szCs w:val="21"/>
        </w:rPr>
        <w:t>、供货期：合同签订后</w:t>
      </w:r>
      <w:r>
        <w:rPr>
          <w:rFonts w:cs="宋体" w:asciiTheme="minorEastAsia" w:hAnsiTheme="minorEastAsia" w:eastAsiaTheme="minorEastAsia"/>
          <w:szCs w:val="21"/>
        </w:rPr>
        <w:t>60</w:t>
      </w:r>
      <w:r>
        <w:rPr>
          <w:rFonts w:hint="eastAsia" w:cs="宋体" w:asciiTheme="minorEastAsia" w:hAnsiTheme="minorEastAsia" w:eastAsiaTheme="minorEastAsia"/>
          <w:szCs w:val="21"/>
        </w:rPr>
        <w:t>天</w:t>
      </w:r>
    </w:p>
    <w:p>
      <w:pPr>
        <w:widowControl/>
        <w:spacing w:line="360" w:lineRule="auto"/>
        <w:ind w:firstLine="420" w:firstLineChars="200"/>
        <w:jc w:val="left"/>
        <w:rPr>
          <w:rFonts w:cs="宋体" w:asciiTheme="minorEastAsia" w:hAnsiTheme="minorEastAsia" w:eastAsiaTheme="minorEastAsia"/>
          <w:bCs/>
          <w:szCs w:val="21"/>
        </w:rPr>
      </w:pPr>
      <w:r>
        <w:rPr>
          <w:rFonts w:hint="eastAsia" w:asciiTheme="minorEastAsia" w:hAnsiTheme="minorEastAsia" w:eastAsiaTheme="minorEastAsia"/>
        </w:rPr>
        <w:t>5</w:t>
      </w:r>
      <w:r>
        <w:rPr>
          <w:rFonts w:hint="eastAsia" w:cs="宋体" w:asciiTheme="minorEastAsia" w:hAnsiTheme="minorEastAsia" w:eastAsiaTheme="minorEastAsia"/>
          <w:szCs w:val="21"/>
        </w:rPr>
        <w:t>、</w:t>
      </w:r>
      <w:r>
        <w:rPr>
          <w:rFonts w:asciiTheme="minorEastAsia" w:hAnsiTheme="minorEastAsia" w:eastAsiaTheme="minorEastAsia"/>
        </w:rPr>
        <w:t>报价</w:t>
      </w:r>
      <w:r>
        <w:rPr>
          <w:rFonts w:hint="eastAsia" w:asciiTheme="minorEastAsia" w:hAnsiTheme="minorEastAsia" w:eastAsiaTheme="minorEastAsia"/>
        </w:rPr>
        <w:t>：总价包干，</w:t>
      </w:r>
      <w:r>
        <w:rPr>
          <w:rFonts w:hint="eastAsia" w:cs="宋体" w:asciiTheme="minorEastAsia" w:hAnsiTheme="minorEastAsia" w:eastAsiaTheme="minorEastAsia"/>
          <w:bCs/>
          <w:szCs w:val="21"/>
        </w:rPr>
        <w:t>报价应包括硬件采购、安装调试、验收、培训、售后服务、各种税费及合同实施过程中的不可预见费用等。</w:t>
      </w:r>
    </w:p>
    <w:p>
      <w:pPr>
        <w:spacing w:line="360" w:lineRule="auto"/>
        <w:rPr>
          <w:b/>
          <w:sz w:val="24"/>
        </w:rPr>
      </w:pPr>
      <w:r>
        <w:rPr>
          <w:rFonts w:hint="eastAsia"/>
          <w:b/>
          <w:sz w:val="24"/>
        </w:rPr>
        <w:t>二、采购</w:t>
      </w:r>
      <w:r>
        <w:rPr>
          <w:b/>
          <w:sz w:val="24"/>
        </w:rPr>
        <w:t>清单</w:t>
      </w:r>
    </w:p>
    <w:tbl>
      <w:tblPr>
        <w:tblStyle w:val="11"/>
        <w:tblW w:w="8335" w:type="dxa"/>
        <w:jc w:val="center"/>
        <w:tblInd w:w="0" w:type="dxa"/>
        <w:tblLayout w:type="fixed"/>
        <w:tblCellMar>
          <w:top w:w="0" w:type="dxa"/>
          <w:left w:w="108" w:type="dxa"/>
          <w:bottom w:w="0" w:type="dxa"/>
          <w:right w:w="108" w:type="dxa"/>
        </w:tblCellMar>
      </w:tblPr>
      <w:tblGrid>
        <w:gridCol w:w="639"/>
        <w:gridCol w:w="1617"/>
        <w:gridCol w:w="887"/>
        <w:gridCol w:w="5192"/>
      </w:tblGrid>
      <w:tr>
        <w:tblPrEx>
          <w:tblLayout w:type="fixed"/>
          <w:tblCellMar>
            <w:top w:w="0" w:type="dxa"/>
            <w:left w:w="108" w:type="dxa"/>
            <w:bottom w:w="0" w:type="dxa"/>
            <w:right w:w="108" w:type="dxa"/>
          </w:tblCellMar>
        </w:tblPrEx>
        <w:trPr>
          <w:trHeight w:val="517" w:hRule="atLeast"/>
          <w:jc w:val="center"/>
        </w:trPr>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bCs/>
              </w:rPr>
            </w:pPr>
            <w:r>
              <w:rPr>
                <w:rFonts w:hint="eastAsia"/>
                <w:b/>
                <w:bCs/>
              </w:rPr>
              <w:t>序号</w:t>
            </w:r>
          </w:p>
        </w:tc>
        <w:tc>
          <w:tcPr>
            <w:tcW w:w="1617" w:type="dxa"/>
            <w:tcBorders>
              <w:top w:val="single" w:color="auto" w:sz="4" w:space="0"/>
              <w:left w:val="nil"/>
              <w:bottom w:val="single" w:color="auto" w:sz="4" w:space="0"/>
              <w:right w:val="single" w:color="auto" w:sz="4" w:space="0"/>
            </w:tcBorders>
            <w:shd w:val="clear" w:color="auto" w:fill="auto"/>
            <w:vAlign w:val="center"/>
          </w:tcPr>
          <w:p>
            <w:pPr>
              <w:jc w:val="center"/>
              <w:rPr>
                <w:b/>
                <w:bCs/>
              </w:rPr>
            </w:pPr>
            <w:r>
              <w:rPr>
                <w:rFonts w:hint="eastAsia"/>
                <w:b/>
                <w:bCs/>
              </w:rPr>
              <w:t>名称</w:t>
            </w:r>
          </w:p>
        </w:tc>
        <w:tc>
          <w:tcPr>
            <w:tcW w:w="887" w:type="dxa"/>
            <w:tcBorders>
              <w:top w:val="single" w:color="auto" w:sz="4" w:space="0"/>
              <w:left w:val="nil"/>
              <w:bottom w:val="single" w:color="auto" w:sz="4" w:space="0"/>
              <w:right w:val="single" w:color="auto" w:sz="4" w:space="0"/>
            </w:tcBorders>
            <w:shd w:val="clear" w:color="auto" w:fill="auto"/>
            <w:vAlign w:val="center"/>
          </w:tcPr>
          <w:p>
            <w:pPr>
              <w:jc w:val="center"/>
              <w:rPr>
                <w:b/>
                <w:bCs/>
              </w:rPr>
            </w:pPr>
            <w:r>
              <w:rPr>
                <w:rFonts w:hint="eastAsia"/>
                <w:b/>
                <w:bCs/>
              </w:rPr>
              <w:t>数量</w:t>
            </w:r>
          </w:p>
        </w:tc>
        <w:tc>
          <w:tcPr>
            <w:tcW w:w="5192" w:type="dxa"/>
            <w:tcBorders>
              <w:top w:val="single" w:color="auto" w:sz="4" w:space="0"/>
              <w:left w:val="nil"/>
              <w:bottom w:val="single" w:color="auto" w:sz="4" w:space="0"/>
              <w:right w:val="single" w:color="auto" w:sz="4" w:space="0"/>
            </w:tcBorders>
            <w:shd w:val="clear" w:color="auto" w:fill="auto"/>
            <w:vAlign w:val="center"/>
          </w:tcPr>
          <w:p>
            <w:pPr>
              <w:jc w:val="center"/>
              <w:rPr>
                <w:b/>
                <w:bCs/>
              </w:rPr>
            </w:pPr>
            <w:r>
              <w:rPr>
                <w:rFonts w:hint="eastAsia" w:ascii="宋体" w:hAnsi="宋体" w:cs="宋体"/>
                <w:b/>
                <w:bCs/>
                <w:szCs w:val="21"/>
              </w:rPr>
              <w:t>主要技术参数</w:t>
            </w:r>
          </w:p>
        </w:tc>
      </w:tr>
      <w:tr>
        <w:tblPrEx>
          <w:tblLayout w:type="fixed"/>
          <w:tblCellMar>
            <w:top w:w="0" w:type="dxa"/>
            <w:left w:w="108" w:type="dxa"/>
            <w:bottom w:w="0" w:type="dxa"/>
            <w:right w:w="108" w:type="dxa"/>
          </w:tblCellMar>
        </w:tblPrEx>
        <w:trPr>
          <w:trHeight w:val="2240" w:hRule="atLeast"/>
          <w:jc w:val="center"/>
        </w:trPr>
        <w:tc>
          <w:tcPr>
            <w:tcW w:w="639" w:type="dxa"/>
            <w:tcBorders>
              <w:top w:val="nil"/>
              <w:left w:val="single" w:color="auto" w:sz="4" w:space="0"/>
              <w:bottom w:val="single" w:color="auto" w:sz="4" w:space="0"/>
              <w:right w:val="single" w:color="auto" w:sz="4" w:space="0"/>
            </w:tcBorders>
            <w:shd w:val="clear" w:color="auto" w:fill="auto"/>
            <w:vAlign w:val="center"/>
          </w:tcPr>
          <w:p>
            <w:pPr>
              <w:ind w:firstLine="105" w:firstLineChars="50"/>
              <w:jc w:val="center"/>
            </w:pPr>
            <w:r>
              <w:rPr>
                <w:rFonts w:hint="eastAsia"/>
              </w:rPr>
              <w:t>1</w:t>
            </w:r>
          </w:p>
        </w:tc>
        <w:tc>
          <w:tcPr>
            <w:tcW w:w="1617" w:type="dxa"/>
            <w:tcBorders>
              <w:top w:val="nil"/>
              <w:left w:val="nil"/>
              <w:bottom w:val="single" w:color="auto" w:sz="4" w:space="0"/>
              <w:right w:val="single" w:color="auto" w:sz="4" w:space="0"/>
            </w:tcBorders>
            <w:shd w:val="clear" w:color="auto" w:fill="auto"/>
            <w:vAlign w:val="center"/>
          </w:tcPr>
          <w:p>
            <w:pPr>
              <w:jc w:val="center"/>
            </w:pPr>
            <w:r>
              <w:rPr>
                <w:rFonts w:hint="eastAsia" w:ascii="宋体" w:hAnsi="宋体"/>
                <w:szCs w:val="21"/>
              </w:rPr>
              <w:t>网络接入交换机</w:t>
            </w:r>
          </w:p>
        </w:tc>
        <w:tc>
          <w:tcPr>
            <w:tcW w:w="887" w:type="dxa"/>
            <w:tcBorders>
              <w:top w:val="nil"/>
              <w:left w:val="nil"/>
              <w:bottom w:val="single" w:color="auto" w:sz="4" w:space="0"/>
              <w:right w:val="single" w:color="auto" w:sz="4" w:space="0"/>
            </w:tcBorders>
            <w:shd w:val="clear" w:color="auto" w:fill="auto"/>
            <w:vAlign w:val="center"/>
          </w:tcPr>
          <w:p>
            <w:pPr>
              <w:jc w:val="center"/>
              <w:rPr>
                <w:rFonts w:hint="eastAsia"/>
              </w:rPr>
            </w:pPr>
            <w:r>
              <w:rPr>
                <w:rFonts w:hint="eastAsia"/>
              </w:rPr>
              <w:t>6</w:t>
            </w:r>
            <w:r>
              <w:t>2</w:t>
            </w:r>
            <w:r>
              <w:rPr>
                <w:rFonts w:hint="eastAsia"/>
              </w:rPr>
              <w:t>台</w:t>
            </w:r>
          </w:p>
        </w:tc>
        <w:tc>
          <w:tcPr>
            <w:tcW w:w="5192" w:type="dxa"/>
            <w:tcBorders>
              <w:top w:val="nil"/>
              <w:left w:val="nil"/>
              <w:bottom w:val="single" w:color="auto" w:sz="4" w:space="0"/>
              <w:right w:val="single" w:color="auto" w:sz="4" w:space="0"/>
            </w:tcBorders>
            <w:shd w:val="clear" w:color="auto" w:fill="auto"/>
            <w:vAlign w:val="center"/>
          </w:tcPr>
          <w:p>
            <w:pPr>
              <w:outlineLvl w:val="0"/>
              <w:rPr>
                <w:rFonts w:ascii="宋体" w:hAnsi="宋体"/>
                <w:szCs w:val="21"/>
              </w:rPr>
            </w:pPr>
            <w:r>
              <w:rPr>
                <w:rFonts w:ascii="宋体" w:hAnsi="宋体"/>
                <w:szCs w:val="21"/>
              </w:rPr>
              <w:t>1</w:t>
            </w:r>
            <w:r>
              <w:rPr>
                <w:rFonts w:hint="eastAsia" w:ascii="宋体" w:hAnsi="宋体"/>
                <w:szCs w:val="21"/>
              </w:rPr>
              <w:t>.</w:t>
            </w:r>
            <w:r>
              <w:rPr>
                <w:rFonts w:ascii="宋体" w:hAnsi="宋体"/>
                <w:szCs w:val="21"/>
              </w:rPr>
              <w:t>采用模块化电源，电源支持热插拔；</w:t>
            </w:r>
          </w:p>
          <w:p>
            <w:pPr>
              <w:outlineLvl w:val="0"/>
              <w:rPr>
                <w:rFonts w:ascii="宋体" w:hAnsi="宋体"/>
                <w:szCs w:val="21"/>
              </w:rPr>
            </w:pPr>
            <w:r>
              <w:rPr>
                <w:rFonts w:ascii="宋体" w:hAnsi="宋体"/>
                <w:szCs w:val="21"/>
              </w:rPr>
              <w:t>2</w:t>
            </w:r>
            <w:r>
              <w:rPr>
                <w:rFonts w:hint="eastAsia" w:ascii="宋体" w:hAnsi="宋体"/>
                <w:szCs w:val="21"/>
              </w:rPr>
              <w:t>.</w:t>
            </w:r>
            <w:r>
              <w:rPr>
                <w:rFonts w:ascii="宋体" w:hAnsi="宋体"/>
                <w:szCs w:val="21"/>
              </w:rPr>
              <w:t>交换容量</w:t>
            </w:r>
            <w:r>
              <w:rPr>
                <w:rFonts w:hint="eastAsia" w:ascii="宋体" w:hAnsi="宋体"/>
                <w:szCs w:val="21"/>
              </w:rPr>
              <w:t>≥688Gbps</w:t>
            </w:r>
            <w:r>
              <w:rPr>
                <w:rFonts w:ascii="宋体" w:hAnsi="宋体"/>
                <w:szCs w:val="21"/>
              </w:rPr>
              <w:t>，包转发率</w:t>
            </w:r>
            <w:r>
              <w:rPr>
                <w:rFonts w:hint="eastAsia" w:ascii="宋体" w:hAnsi="宋体"/>
                <w:szCs w:val="21"/>
              </w:rPr>
              <w:t>≥207Mpps</w:t>
            </w:r>
            <w:r>
              <w:rPr>
                <w:rFonts w:ascii="宋体" w:hAnsi="宋体"/>
                <w:szCs w:val="21"/>
              </w:rPr>
              <w:t>；</w:t>
            </w:r>
          </w:p>
          <w:p>
            <w:pPr>
              <w:outlineLvl w:val="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w:t>
            </w:r>
            <w:r>
              <w:rPr>
                <w:rFonts w:hint="eastAsia"/>
              </w:rPr>
              <w:t xml:space="preserve"> </w:t>
            </w:r>
            <w:r>
              <w:rPr>
                <w:rFonts w:hint="eastAsia" w:ascii="宋体" w:hAnsi="宋体"/>
                <w:szCs w:val="21"/>
              </w:rPr>
              <w:t>100/1000Base-T以太网口≥48个,</w:t>
            </w:r>
            <w:r>
              <w:rPr>
                <w:rFonts w:ascii="宋体" w:hAnsi="宋体"/>
                <w:szCs w:val="21"/>
              </w:rPr>
              <w:t>万兆接口</w:t>
            </w:r>
            <w:r>
              <w:rPr>
                <w:rFonts w:hint="eastAsia" w:ascii="宋体" w:hAnsi="宋体"/>
                <w:szCs w:val="21"/>
              </w:rPr>
              <w:t>≥6</w:t>
            </w:r>
            <w:r>
              <w:rPr>
                <w:rFonts w:ascii="宋体" w:hAnsi="宋体"/>
                <w:szCs w:val="21"/>
              </w:rPr>
              <w:t>个（含</w:t>
            </w:r>
            <w:r>
              <w:rPr>
                <w:rFonts w:hint="eastAsia" w:ascii="宋体" w:hAnsi="宋体"/>
                <w:szCs w:val="21"/>
              </w:rPr>
              <w:t>1条长度1.2m</w:t>
            </w:r>
            <w:r>
              <w:rPr>
                <w:rFonts w:hint="eastAsia" w:ascii="微软雅黑" w:hAnsi="微软雅黑" w:eastAsia="微软雅黑"/>
                <w:color w:val="333333"/>
                <w:szCs w:val="21"/>
                <w:shd w:val="clear" w:color="auto" w:fill="FFFFFF"/>
              </w:rPr>
              <w:t xml:space="preserve"> </w:t>
            </w:r>
            <w:r>
              <w:rPr>
                <w:rFonts w:hint="eastAsia" w:ascii="宋体" w:hAnsi="宋体"/>
                <w:szCs w:val="21"/>
              </w:rPr>
              <w:t>SFP+电缆</w:t>
            </w:r>
            <w:r>
              <w:rPr>
                <w:rFonts w:ascii="宋体" w:hAnsi="宋体"/>
                <w:szCs w:val="21"/>
              </w:rPr>
              <w:t>），</w:t>
            </w:r>
            <w:r>
              <w:rPr>
                <w:rFonts w:hint="eastAsia" w:ascii="宋体" w:hAnsi="宋体"/>
                <w:szCs w:val="21"/>
              </w:rPr>
              <w:t>2块</w:t>
            </w:r>
            <w:r>
              <w:rPr>
                <w:rFonts w:ascii="宋体" w:hAnsi="宋体"/>
                <w:szCs w:val="21"/>
              </w:rPr>
              <w:t>冗余模块化电源；</w:t>
            </w:r>
          </w:p>
          <w:p>
            <w:pPr>
              <w:outlineLvl w:val="0"/>
              <w:rPr>
                <w:rFonts w:ascii="宋体" w:hAnsi="宋体"/>
                <w:szCs w:val="21"/>
              </w:rPr>
            </w:pPr>
            <w:r>
              <w:rPr>
                <w:rFonts w:ascii="宋体" w:hAnsi="宋体"/>
                <w:szCs w:val="21"/>
              </w:rPr>
              <w:t>4</w:t>
            </w:r>
            <w:r>
              <w:rPr>
                <w:rFonts w:hint="eastAsia" w:ascii="宋体" w:hAnsi="宋体"/>
                <w:szCs w:val="21"/>
              </w:rPr>
              <w:t>.</w:t>
            </w:r>
            <w:r>
              <w:rPr>
                <w:rFonts w:ascii="宋体" w:hAnsi="宋体"/>
                <w:szCs w:val="21"/>
              </w:rPr>
              <w:t>支持静态路由、动态路由；支持IPv4和IPv6环境下的策略路由；支持IPV6等协议</w:t>
            </w:r>
            <w:r>
              <w:rPr>
                <w:rFonts w:hint="eastAsia" w:ascii="宋体" w:hAnsi="宋体"/>
                <w:szCs w:val="21"/>
              </w:rPr>
              <w:t>；支持802.1x认证，支持集中式MAC地址认证</w:t>
            </w:r>
            <w:r>
              <w:rPr>
                <w:rFonts w:ascii="宋体" w:hAnsi="宋体"/>
                <w:szCs w:val="21"/>
              </w:rPr>
              <w:t>；</w:t>
            </w:r>
          </w:p>
          <w:p>
            <w:pPr>
              <w:outlineLvl w:val="0"/>
              <w:rPr>
                <w:rFonts w:ascii="宋体" w:hAnsi="宋体"/>
                <w:szCs w:val="21"/>
              </w:rPr>
            </w:pPr>
            <w:r>
              <w:rPr>
                <w:rFonts w:hint="eastAsia" w:ascii="宋体" w:hAnsi="宋体"/>
                <w:szCs w:val="21"/>
              </w:rPr>
              <w:t>★5.整机最大MAC地址表≥32K，整机最大路由地址表≥12K，整机最大ARP地址表≥8K，提供第三方测试报告；最大堆叠台数&gt;=9台，支持完善的堆叠分裂检测机制，堆叠分裂后能自动完成MAC和IP地址的重配置，无需手动干预；</w:t>
            </w:r>
          </w:p>
          <w:p>
            <w:pPr>
              <w:outlineLvl w:val="0"/>
              <w:rPr>
                <w:rFonts w:hint="eastAsia" w:ascii="宋体" w:hAnsi="宋体"/>
                <w:szCs w:val="21"/>
              </w:rPr>
            </w:pPr>
            <w:r>
              <w:rPr>
                <w:rFonts w:hint="eastAsia" w:ascii="宋体" w:hAnsi="宋体"/>
                <w:szCs w:val="21"/>
              </w:rPr>
              <w:t>★6.</w:t>
            </w:r>
            <w:r>
              <w:rPr>
                <w:rFonts w:ascii="宋体" w:hAnsi="宋体"/>
                <w:szCs w:val="21"/>
              </w:rPr>
              <w:t>支持融合</w:t>
            </w:r>
            <w:r>
              <w:rPr>
                <w:rFonts w:hint="eastAsia" w:ascii="宋体" w:hAnsi="宋体"/>
                <w:szCs w:val="21"/>
              </w:rPr>
              <w:t>院方现有IMC网管平台，满足集中管理和统一接入认证</w:t>
            </w:r>
            <w:r>
              <w:rPr>
                <w:rFonts w:ascii="宋体" w:hAnsi="宋体"/>
                <w:szCs w:val="21"/>
              </w:rPr>
              <w:t xml:space="preserve">； </w:t>
            </w:r>
          </w:p>
        </w:tc>
      </w:tr>
      <w:tr>
        <w:tblPrEx>
          <w:tblLayout w:type="fixed"/>
          <w:tblCellMar>
            <w:top w:w="0" w:type="dxa"/>
            <w:left w:w="108" w:type="dxa"/>
            <w:bottom w:w="0" w:type="dxa"/>
            <w:right w:w="108" w:type="dxa"/>
          </w:tblCellMar>
        </w:tblPrEx>
        <w:trPr>
          <w:trHeight w:val="1423" w:hRule="atLeast"/>
          <w:jc w:val="center"/>
        </w:trPr>
        <w:tc>
          <w:tcPr>
            <w:tcW w:w="639" w:type="dxa"/>
            <w:tcBorders>
              <w:top w:val="nil"/>
              <w:left w:val="single" w:color="auto" w:sz="4" w:space="0"/>
              <w:bottom w:val="single" w:color="auto" w:sz="4" w:space="0"/>
              <w:right w:val="single" w:color="auto" w:sz="4" w:space="0"/>
            </w:tcBorders>
            <w:shd w:val="clear" w:color="auto" w:fill="auto"/>
            <w:vAlign w:val="center"/>
          </w:tcPr>
          <w:p>
            <w:pPr>
              <w:ind w:firstLine="105" w:firstLineChars="50"/>
              <w:jc w:val="center"/>
            </w:pPr>
            <w:r>
              <w:rPr>
                <w:rFonts w:hint="eastAsia"/>
              </w:rPr>
              <w:t>2</w:t>
            </w:r>
          </w:p>
        </w:tc>
        <w:tc>
          <w:tcPr>
            <w:tcW w:w="1617" w:type="dxa"/>
            <w:tcBorders>
              <w:top w:val="nil"/>
              <w:left w:val="nil"/>
              <w:bottom w:val="single" w:color="auto" w:sz="4" w:space="0"/>
              <w:right w:val="single" w:color="auto" w:sz="4" w:space="0"/>
            </w:tcBorders>
            <w:shd w:val="clear" w:color="auto" w:fill="auto"/>
            <w:vAlign w:val="center"/>
          </w:tcPr>
          <w:p>
            <w:pPr>
              <w:jc w:val="center"/>
            </w:pPr>
            <w:r>
              <w:rPr>
                <w:rFonts w:hint="eastAsia"/>
              </w:rPr>
              <w:t>光模块</w:t>
            </w:r>
          </w:p>
        </w:tc>
        <w:tc>
          <w:tcPr>
            <w:tcW w:w="887" w:type="dxa"/>
            <w:tcBorders>
              <w:top w:val="nil"/>
              <w:left w:val="nil"/>
              <w:bottom w:val="single" w:color="auto" w:sz="4" w:space="0"/>
              <w:right w:val="single" w:color="auto" w:sz="4" w:space="0"/>
            </w:tcBorders>
            <w:shd w:val="clear" w:color="auto" w:fill="auto"/>
            <w:vAlign w:val="center"/>
          </w:tcPr>
          <w:p>
            <w:pPr>
              <w:jc w:val="center"/>
              <w:rPr>
                <w:rFonts w:hint="eastAsia"/>
              </w:rPr>
            </w:pPr>
            <w:r>
              <w:t>140</w:t>
            </w:r>
            <w:r>
              <w:rPr>
                <w:rFonts w:hint="eastAsia"/>
              </w:rPr>
              <w:t>块</w:t>
            </w:r>
          </w:p>
        </w:tc>
        <w:tc>
          <w:tcPr>
            <w:tcW w:w="5192" w:type="dxa"/>
            <w:tcBorders>
              <w:top w:val="nil"/>
              <w:left w:val="nil"/>
              <w:bottom w:val="single" w:color="auto" w:sz="4" w:space="0"/>
              <w:right w:val="single" w:color="auto" w:sz="4" w:space="0"/>
            </w:tcBorders>
            <w:shd w:val="clear" w:color="auto" w:fill="auto"/>
            <w:vAlign w:val="center"/>
          </w:tcPr>
          <w:p>
            <w:pPr>
              <w:pStyle w:val="20"/>
              <w:ind w:firstLine="0" w:firstLineChars="0"/>
              <w:outlineLvl w:val="0"/>
              <w:rPr>
                <w:rFonts w:ascii="宋体" w:hAnsi="宋体"/>
                <w:szCs w:val="21"/>
              </w:rPr>
            </w:pPr>
            <w:r>
              <w:rPr>
                <w:rFonts w:hint="eastAsia" w:ascii="宋体" w:hAnsi="宋体" w:cs="宋体"/>
                <w:bCs/>
                <w:szCs w:val="21"/>
              </w:rPr>
              <w:t>1</w:t>
            </w:r>
            <w:r>
              <w:rPr>
                <w:rFonts w:ascii="宋体" w:hAnsi="宋体" w:cs="宋体"/>
                <w:bCs/>
                <w:szCs w:val="21"/>
              </w:rPr>
              <w:t>.</w:t>
            </w:r>
            <w:r>
              <w:rPr>
                <w:rFonts w:hint="eastAsia" w:ascii="宋体" w:hAnsi="宋体" w:cs="宋体"/>
                <w:bCs/>
                <w:szCs w:val="21"/>
              </w:rPr>
              <w:t>与</w:t>
            </w:r>
            <w:r>
              <w:rPr>
                <w:rFonts w:hint="eastAsia" w:ascii="宋体" w:hAnsi="宋体"/>
                <w:szCs w:val="21"/>
              </w:rPr>
              <w:t>网络接入交换机为同一品牌原厂正品SFP+万兆光模块；</w:t>
            </w:r>
          </w:p>
          <w:p>
            <w:pPr>
              <w:pStyle w:val="20"/>
              <w:ind w:firstLine="0" w:firstLineChars="0"/>
              <w:outlineLvl w:val="0"/>
              <w:rPr>
                <w:rFonts w:ascii="宋体" w:hAnsi="宋体" w:cs="宋体"/>
                <w:bCs/>
                <w:szCs w:val="21"/>
              </w:rPr>
            </w:pPr>
            <w:r>
              <w:rPr>
                <w:rFonts w:hint="eastAsia" w:ascii="宋体" w:hAnsi="宋体" w:cs="宋体"/>
                <w:bCs/>
                <w:szCs w:val="21"/>
              </w:rPr>
              <w:t>2</w:t>
            </w:r>
            <w:r>
              <w:rPr>
                <w:rFonts w:ascii="宋体" w:hAnsi="宋体" w:cs="宋体"/>
                <w:bCs/>
                <w:szCs w:val="21"/>
              </w:rPr>
              <w:t>.</w:t>
            </w:r>
            <w:r>
              <w:rPr>
                <w:rFonts w:hint="eastAsia" w:ascii="宋体" w:hAnsi="宋体" w:cs="宋体"/>
                <w:bCs/>
                <w:szCs w:val="21"/>
              </w:rPr>
              <w:t xml:space="preserve">中心波长：850nm，最大传输距离：2公里，接口连接器类型：LC </w:t>
            </w:r>
          </w:p>
        </w:tc>
      </w:tr>
      <w:tr>
        <w:tblPrEx>
          <w:tblLayout w:type="fixed"/>
          <w:tblCellMar>
            <w:top w:w="0" w:type="dxa"/>
            <w:left w:w="108" w:type="dxa"/>
            <w:bottom w:w="0" w:type="dxa"/>
            <w:right w:w="108" w:type="dxa"/>
          </w:tblCellMar>
        </w:tblPrEx>
        <w:trPr>
          <w:trHeight w:val="834" w:hRule="atLeast"/>
          <w:jc w:val="center"/>
        </w:trPr>
        <w:tc>
          <w:tcPr>
            <w:tcW w:w="639" w:type="dxa"/>
            <w:tcBorders>
              <w:top w:val="nil"/>
              <w:left w:val="single" w:color="auto" w:sz="4" w:space="0"/>
              <w:bottom w:val="single" w:color="auto" w:sz="4" w:space="0"/>
              <w:right w:val="single" w:color="auto" w:sz="4" w:space="0"/>
            </w:tcBorders>
            <w:shd w:val="clear" w:color="auto" w:fill="auto"/>
            <w:vAlign w:val="center"/>
          </w:tcPr>
          <w:p>
            <w:pPr>
              <w:ind w:firstLine="105" w:firstLineChars="50"/>
              <w:jc w:val="center"/>
            </w:pPr>
            <w:r>
              <w:rPr>
                <w:rFonts w:hint="eastAsia"/>
              </w:rPr>
              <w:t>3</w:t>
            </w:r>
          </w:p>
        </w:tc>
        <w:tc>
          <w:tcPr>
            <w:tcW w:w="1617" w:type="dxa"/>
            <w:tcBorders>
              <w:top w:val="nil"/>
              <w:left w:val="nil"/>
              <w:bottom w:val="single" w:color="auto" w:sz="4" w:space="0"/>
              <w:right w:val="single" w:color="auto" w:sz="4" w:space="0"/>
            </w:tcBorders>
            <w:shd w:val="clear" w:color="auto" w:fill="auto"/>
            <w:vAlign w:val="center"/>
          </w:tcPr>
          <w:p>
            <w:pPr>
              <w:jc w:val="center"/>
            </w:pPr>
            <w:r>
              <w:rPr>
                <w:rFonts w:hint="eastAsia" w:ascii="宋体" w:hAnsi="宋体"/>
                <w:szCs w:val="21"/>
              </w:rPr>
              <w:t>万兆光纤跳线</w:t>
            </w:r>
          </w:p>
        </w:tc>
        <w:tc>
          <w:tcPr>
            <w:tcW w:w="887" w:type="dxa"/>
            <w:tcBorders>
              <w:top w:val="nil"/>
              <w:left w:val="nil"/>
              <w:bottom w:val="single" w:color="auto" w:sz="4" w:space="0"/>
              <w:right w:val="single" w:color="auto" w:sz="4" w:space="0"/>
            </w:tcBorders>
            <w:shd w:val="clear" w:color="auto" w:fill="auto"/>
            <w:vAlign w:val="center"/>
          </w:tcPr>
          <w:p>
            <w:pPr>
              <w:jc w:val="center"/>
              <w:rPr>
                <w:rFonts w:hint="eastAsia"/>
              </w:rPr>
            </w:pPr>
            <w:r>
              <w:t>140</w:t>
            </w:r>
            <w:r>
              <w:rPr>
                <w:rFonts w:hint="eastAsia"/>
              </w:rPr>
              <w:t>对</w:t>
            </w:r>
          </w:p>
        </w:tc>
        <w:tc>
          <w:tcPr>
            <w:tcW w:w="5192" w:type="dxa"/>
            <w:tcBorders>
              <w:top w:val="nil"/>
              <w:left w:val="nil"/>
              <w:bottom w:val="single" w:color="auto" w:sz="4" w:space="0"/>
              <w:right w:val="single" w:color="auto" w:sz="4" w:space="0"/>
            </w:tcBorders>
            <w:shd w:val="clear" w:color="auto" w:fill="auto"/>
            <w:vAlign w:val="center"/>
          </w:tcPr>
          <w:p>
            <w:pPr>
              <w:spacing w:line="320" w:lineRule="exact"/>
              <w:outlineLvl w:val="0"/>
              <w:rPr>
                <w:rFonts w:ascii="宋体" w:hAnsi="宋体"/>
                <w:szCs w:val="21"/>
              </w:rPr>
            </w:pPr>
            <w:r>
              <w:rPr>
                <w:rFonts w:hint="eastAsia" w:ascii="宋体" w:hAnsi="宋体"/>
                <w:szCs w:val="21"/>
              </w:rPr>
              <w:t>3</w:t>
            </w:r>
            <w:r>
              <w:rPr>
                <w:rFonts w:ascii="宋体" w:hAnsi="宋体"/>
                <w:szCs w:val="21"/>
              </w:rPr>
              <w:t>米</w:t>
            </w:r>
            <w:r>
              <w:rPr>
                <w:rFonts w:hint="eastAsia" w:ascii="宋体" w:hAnsi="宋体"/>
                <w:szCs w:val="21"/>
              </w:rPr>
              <w:t>LC-LC</w:t>
            </w:r>
            <w:r>
              <w:rPr>
                <w:rFonts w:ascii="宋体" w:hAnsi="宋体"/>
                <w:szCs w:val="21"/>
              </w:rPr>
              <w:t>万兆</w:t>
            </w:r>
            <w:r>
              <w:rPr>
                <w:rFonts w:hint="eastAsia" w:ascii="宋体" w:hAnsi="宋体"/>
                <w:szCs w:val="21"/>
              </w:rPr>
              <w:t>多</w:t>
            </w:r>
            <w:r>
              <w:rPr>
                <w:rFonts w:ascii="宋体" w:hAnsi="宋体"/>
                <w:szCs w:val="21"/>
              </w:rPr>
              <w:t>模光纤跳线</w:t>
            </w:r>
            <w:r>
              <w:rPr>
                <w:rFonts w:hint="eastAsia" w:ascii="宋体" w:hAnsi="宋体"/>
                <w:szCs w:val="21"/>
              </w:rPr>
              <w:t>；</w:t>
            </w:r>
          </w:p>
        </w:tc>
      </w:tr>
    </w:tbl>
    <w:p>
      <w:pPr>
        <w:spacing w:line="360" w:lineRule="auto"/>
        <w:rPr>
          <w:b/>
          <w:sz w:val="24"/>
        </w:rPr>
      </w:pPr>
    </w:p>
    <w:p>
      <w:pPr>
        <w:spacing w:line="360" w:lineRule="auto"/>
        <w:rPr>
          <w:rFonts w:ascii="宋体" w:hAnsi="宋体"/>
          <w:b/>
          <w:sz w:val="24"/>
        </w:rPr>
      </w:pPr>
      <w:r>
        <w:rPr>
          <w:rFonts w:hint="eastAsia" w:ascii="宋体" w:hAnsi="宋体"/>
          <w:b/>
          <w:sz w:val="24"/>
        </w:rPr>
        <w:t>三</w:t>
      </w:r>
      <w:r>
        <w:rPr>
          <w:rFonts w:ascii="宋体" w:hAnsi="宋体"/>
          <w:b/>
          <w:sz w:val="24"/>
        </w:rPr>
        <w:t>、</w:t>
      </w:r>
      <w:r>
        <w:rPr>
          <w:rFonts w:hint="eastAsia" w:ascii="宋体" w:hAnsi="宋体"/>
          <w:b/>
          <w:sz w:val="24"/>
        </w:rPr>
        <w:t>质量要求</w:t>
      </w:r>
    </w:p>
    <w:p>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1、供应商提供的货物质量必须符合国家相关标准、行业标准及项目要求</w:t>
      </w:r>
      <w:r>
        <w:rPr>
          <w:rFonts w:asciiTheme="minorEastAsia" w:hAnsiTheme="minorEastAsia" w:eastAsiaTheme="minorEastAsia"/>
          <w:color w:val="000000"/>
          <w:szCs w:val="21"/>
        </w:rPr>
        <w:t>。</w:t>
      </w:r>
    </w:p>
    <w:p>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2、供应商</w:t>
      </w:r>
      <w:r>
        <w:rPr>
          <w:rFonts w:asciiTheme="minorEastAsia" w:hAnsiTheme="minorEastAsia" w:eastAsiaTheme="minorEastAsia"/>
          <w:color w:val="000000"/>
          <w:szCs w:val="21"/>
        </w:rPr>
        <w:t>提供的</w:t>
      </w:r>
      <w:r>
        <w:rPr>
          <w:rFonts w:hint="eastAsia" w:asciiTheme="minorEastAsia" w:hAnsiTheme="minorEastAsia" w:eastAsiaTheme="minorEastAsia"/>
          <w:color w:val="000000"/>
          <w:szCs w:val="21"/>
        </w:rPr>
        <w:t>货物</w:t>
      </w:r>
      <w:r>
        <w:rPr>
          <w:rFonts w:asciiTheme="minorEastAsia" w:hAnsiTheme="minorEastAsia" w:eastAsiaTheme="minorEastAsia"/>
          <w:color w:val="000000"/>
          <w:szCs w:val="21"/>
        </w:rPr>
        <w:t>为</w:t>
      </w:r>
      <w:r>
        <w:rPr>
          <w:rFonts w:hint="eastAsia" w:asciiTheme="minorEastAsia" w:hAnsiTheme="minorEastAsia" w:eastAsiaTheme="minorEastAsia"/>
          <w:color w:val="000000"/>
          <w:szCs w:val="21"/>
        </w:rPr>
        <w:t>厂家原装正品、全新</w:t>
      </w:r>
      <w:r>
        <w:rPr>
          <w:rFonts w:asciiTheme="minorEastAsia" w:hAnsiTheme="minorEastAsia" w:eastAsiaTheme="minorEastAsia"/>
          <w:color w:val="000000"/>
          <w:szCs w:val="21"/>
        </w:rPr>
        <w:t>产品，</w:t>
      </w:r>
      <w:r>
        <w:rPr>
          <w:rFonts w:hint="eastAsia" w:asciiTheme="minorEastAsia" w:hAnsiTheme="minorEastAsia" w:eastAsiaTheme="minorEastAsia"/>
          <w:color w:val="000000"/>
          <w:szCs w:val="21"/>
        </w:rPr>
        <w:t>无侵权行为、表面无划损、无任何缺陷隐患，在中国境内可安全合法使用。</w:t>
      </w:r>
    </w:p>
    <w:p>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供应商保证对其出售的设备享有所有权或处分权，并且没有法律、法规禁止或限制出售的情形。同时，供应商出售的设备也没有侵犯第三人的知识产权和商业秘密等权利。如采购人使用该设备构成上述侵权，供应商承担全部相关责任。</w:t>
      </w:r>
    </w:p>
    <w:p>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4、供应商对由于设计工艺或材料的缺陷所发生的任何故障负责，所需费用由供应商承担。</w:t>
      </w:r>
    </w:p>
    <w:p>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5、供</w:t>
      </w:r>
      <w:r>
        <w:rPr>
          <w:rFonts w:asciiTheme="minorEastAsia" w:hAnsiTheme="minorEastAsia" w:eastAsiaTheme="minorEastAsia"/>
          <w:color w:val="000000"/>
          <w:szCs w:val="21"/>
        </w:rPr>
        <w:t>应商需承诺</w:t>
      </w:r>
      <w:r>
        <w:rPr>
          <w:rFonts w:hint="eastAsia" w:cs="宋体" w:asciiTheme="minorEastAsia" w:hAnsiTheme="minorEastAsia" w:eastAsiaTheme="minorEastAsia"/>
          <w:szCs w:val="21"/>
        </w:rPr>
        <w:t>所提供硬件能完全兼容适配现有服务器等</w:t>
      </w:r>
      <w:r>
        <w:rPr>
          <w:rFonts w:cs="宋体" w:asciiTheme="minorEastAsia" w:hAnsiTheme="minorEastAsia" w:eastAsiaTheme="minorEastAsia"/>
          <w:szCs w:val="21"/>
        </w:rPr>
        <w:t>设备。</w:t>
      </w:r>
    </w:p>
    <w:p>
      <w:pPr>
        <w:widowControl/>
        <w:spacing w:line="360" w:lineRule="auto"/>
        <w:jc w:val="left"/>
        <w:rPr>
          <w:b/>
          <w:sz w:val="24"/>
        </w:rPr>
      </w:pPr>
    </w:p>
    <w:p>
      <w:pPr>
        <w:widowControl/>
        <w:spacing w:line="360" w:lineRule="auto"/>
        <w:ind w:left="2048" w:hanging="2048"/>
        <w:jc w:val="left"/>
        <w:rPr>
          <w:b/>
          <w:sz w:val="24"/>
        </w:rPr>
      </w:pPr>
      <w:r>
        <w:rPr>
          <w:rFonts w:hint="eastAsia"/>
          <w:b/>
          <w:sz w:val="24"/>
        </w:rPr>
        <w:t>四、服务要求</w:t>
      </w:r>
    </w:p>
    <w:p>
      <w:pPr>
        <w:spacing w:line="460" w:lineRule="atLeast"/>
        <w:rPr>
          <w:rFonts w:asciiTheme="minorEastAsia" w:hAnsiTheme="minorEastAsia" w:eastAsiaTheme="minorEastAsia"/>
          <w:color w:val="000000"/>
          <w:szCs w:val="21"/>
        </w:rPr>
      </w:pP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本项目存在新设备替换在线老设备、新老设备并行、老设备作为扩展端口挂接在新设备上等多种情况，供应商须负责进行旧机下线、拆除、新机调试安装上线、新老设备同时并网等多种情况工作，安装过程最大程度减少对现有业务影响</w:t>
      </w:r>
      <w:r>
        <w:rPr>
          <w:rFonts w:asciiTheme="minorEastAsia" w:hAnsiTheme="minorEastAsia" w:eastAsiaTheme="minorEastAsia"/>
          <w:color w:val="000000"/>
          <w:szCs w:val="21"/>
        </w:rPr>
        <w:t>。</w:t>
      </w:r>
    </w:p>
    <w:p>
      <w:pPr>
        <w:spacing w:line="460" w:lineRule="atLeast"/>
        <w:rPr>
          <w:rFonts w:asciiTheme="minorEastAsia" w:hAnsiTheme="minorEastAsia" w:eastAsiaTheme="minorEastAsia"/>
          <w:color w:val="000000"/>
          <w:szCs w:val="21"/>
        </w:rPr>
      </w:pP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、设备进行替换、并网前必须进行详细评估，初次作业前进行演练，经采购人确认后方可进行后续作业</w:t>
      </w:r>
      <w:r>
        <w:rPr>
          <w:rFonts w:asciiTheme="minorEastAsia" w:hAnsiTheme="minorEastAsia" w:eastAsiaTheme="minorEastAsia"/>
          <w:color w:val="000000"/>
          <w:szCs w:val="21"/>
        </w:rPr>
        <w:t>。</w:t>
      </w:r>
    </w:p>
    <w:p>
      <w:pPr>
        <w:spacing w:line="460" w:lineRule="atLeast"/>
        <w:rPr>
          <w:rFonts w:asciiTheme="minorEastAsia" w:hAnsiTheme="minorEastAsia" w:eastAsiaTheme="minorEastAsia"/>
          <w:color w:val="000000"/>
          <w:szCs w:val="21"/>
        </w:rPr>
      </w:pP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、设备替换、并网后需要对设备安装机柜内接入网线、光纤进行有序整理，按采购人要求规范粘贴标签，旧设备进行清理后继续并网运行或搬运到客户指定地点存放。</w:t>
      </w:r>
    </w:p>
    <w:p>
      <w:pPr>
        <w:spacing w:line="460" w:lineRule="atLeast"/>
        <w:rPr>
          <w:rFonts w:asciiTheme="minorEastAsia" w:hAnsiTheme="minorEastAsia" w:eastAsiaTheme="minorEastAsia"/>
          <w:color w:val="000000"/>
          <w:szCs w:val="21"/>
        </w:rPr>
      </w:pPr>
      <w:r>
        <w:rPr>
          <w:rFonts w:asciiTheme="minorEastAsia" w:hAnsiTheme="minorEastAsia" w:eastAsiaTheme="minorEastAsia"/>
          <w:color w:val="000000"/>
          <w:szCs w:val="21"/>
        </w:rPr>
        <w:t>4</w:t>
      </w: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配合</w:t>
      </w:r>
      <w:r>
        <w:rPr>
          <w:rFonts w:hint="eastAsia" w:asciiTheme="minorEastAsia" w:hAnsiTheme="minorEastAsia" w:eastAsiaTheme="minorEastAsia"/>
          <w:color w:val="000000"/>
          <w:szCs w:val="21"/>
        </w:rPr>
        <w:t>采购人完成新设备在</w:t>
      </w:r>
      <w:r>
        <w:rPr>
          <w:rFonts w:asciiTheme="minorEastAsia" w:hAnsiTheme="minorEastAsia" w:eastAsiaTheme="minorEastAsia"/>
          <w:color w:val="000000"/>
          <w:szCs w:val="21"/>
        </w:rPr>
        <w:t>医院</w:t>
      </w:r>
      <w:r>
        <w:rPr>
          <w:rFonts w:hint="eastAsia" w:asciiTheme="minorEastAsia" w:hAnsiTheme="minorEastAsia" w:eastAsiaTheme="minorEastAsia"/>
          <w:color w:val="000000"/>
          <w:szCs w:val="21"/>
        </w:rPr>
        <w:t>网管系统</w:t>
      </w:r>
      <w:r>
        <w:rPr>
          <w:rFonts w:asciiTheme="minorEastAsia" w:hAnsiTheme="minorEastAsia" w:eastAsiaTheme="minorEastAsia"/>
          <w:color w:val="000000"/>
          <w:szCs w:val="21"/>
        </w:rPr>
        <w:t>上部署</w:t>
      </w:r>
      <w:r>
        <w:rPr>
          <w:rFonts w:hint="eastAsia" w:asciiTheme="minorEastAsia" w:hAnsiTheme="minorEastAsia" w:eastAsiaTheme="minorEastAsia"/>
          <w:color w:val="000000"/>
          <w:szCs w:val="21"/>
        </w:rPr>
        <w:t>集中管控及接入认证功能。</w:t>
      </w:r>
    </w:p>
    <w:p>
      <w:pPr>
        <w:spacing w:line="460" w:lineRule="atLeast"/>
        <w:rPr>
          <w:rFonts w:asciiTheme="minorEastAsia" w:hAnsiTheme="minorEastAsia" w:eastAsiaTheme="minorEastAsia"/>
          <w:color w:val="000000"/>
          <w:szCs w:val="21"/>
        </w:rPr>
      </w:pPr>
      <w:r>
        <w:rPr>
          <w:rFonts w:asciiTheme="minorEastAsia" w:hAnsiTheme="minorEastAsia" w:eastAsiaTheme="minorEastAsia"/>
          <w:color w:val="000000"/>
          <w:szCs w:val="21"/>
        </w:rPr>
        <w:t>5</w:t>
      </w:r>
      <w:r>
        <w:rPr>
          <w:rFonts w:hint="eastAsia" w:asciiTheme="minorEastAsia" w:hAnsiTheme="minorEastAsia" w:eastAsiaTheme="minorEastAsia"/>
          <w:color w:val="000000"/>
          <w:szCs w:val="21"/>
        </w:rPr>
        <w:t>、配合完成相应安全策略，满足采购人在网络安全方面统一管理部署要求。</w:t>
      </w:r>
    </w:p>
    <w:p>
      <w:pPr>
        <w:widowControl/>
        <w:spacing w:line="360" w:lineRule="auto"/>
        <w:ind w:left="2048" w:hanging="2048"/>
        <w:jc w:val="left"/>
        <w:rPr>
          <w:b/>
          <w:sz w:val="24"/>
        </w:rPr>
      </w:pPr>
    </w:p>
    <w:p>
      <w:pPr>
        <w:widowControl/>
        <w:spacing w:line="360" w:lineRule="auto"/>
        <w:ind w:left="2048" w:hanging="2048"/>
        <w:jc w:val="left"/>
        <w:rPr>
          <w:rFonts w:hint="eastAsia"/>
          <w:b/>
          <w:sz w:val="24"/>
        </w:rPr>
      </w:pPr>
      <w:r>
        <w:rPr>
          <w:rFonts w:hint="eastAsia"/>
          <w:b/>
          <w:sz w:val="24"/>
        </w:rPr>
        <w:t>五、售后服务</w:t>
      </w:r>
    </w:p>
    <w:p>
      <w:pPr>
        <w:spacing w:line="360" w:lineRule="auto"/>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、按项目</w:t>
      </w:r>
      <w:r>
        <w:rPr>
          <w:rFonts w:asciiTheme="minorEastAsia" w:hAnsiTheme="minorEastAsia" w:eastAsiaTheme="minorEastAsia"/>
        </w:rPr>
        <w:t>要求提供质保</w:t>
      </w:r>
      <w:r>
        <w:rPr>
          <w:rFonts w:hint="eastAsia" w:asciiTheme="minorEastAsia" w:hAnsiTheme="minorEastAsia" w:eastAsiaTheme="minorEastAsia"/>
        </w:rPr>
        <w:t>，若国家或生产厂家对本项目所涉及货物质量保证期的规定高于本项目的要求，应按国家或生产厂家的规定执行。</w:t>
      </w:r>
    </w:p>
    <w:p>
      <w:pPr>
        <w:spacing w:line="360" w:lineRule="auto"/>
        <w:rPr>
          <w:rFonts w:asciiTheme="minorEastAsia" w:hAnsiTheme="minorEastAsia" w:eastAsiaTheme="minorEastAsia"/>
          <w:color w:val="FF0000"/>
        </w:rPr>
      </w:pPr>
      <w:r>
        <w:rPr>
          <w:rFonts w:asciiTheme="minorEastAsia" w:hAnsiTheme="minorEastAsia" w:eastAsiaTheme="minorEastAsia"/>
        </w:rPr>
        <w:t>2</w:t>
      </w:r>
      <w:r>
        <w:rPr>
          <w:rFonts w:hint="eastAsia" w:asciiTheme="minorEastAsia" w:hAnsiTheme="minorEastAsia" w:eastAsiaTheme="minorEastAsia"/>
        </w:rPr>
        <w:t>、</w:t>
      </w:r>
      <w:r>
        <w:rPr>
          <w:rFonts w:hint="eastAsia" w:cs="宋体" w:asciiTheme="minorEastAsia" w:hAnsiTheme="minorEastAsia" w:eastAsiaTheme="minorEastAsia"/>
          <w:bCs/>
          <w:szCs w:val="21"/>
        </w:rPr>
        <w:t>质保期内供应商提供“包退、包换、包修”的质量“三包”服务，一切维修费用、备品备件费用均由供应商免费提供。</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3、在免费维护期内，乙方提供技术支持和指导，故障情况下的现场问题解决，包括但不限于兼容性问题的微码升级、固件升级等。</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4、</w:t>
      </w:r>
      <w:r>
        <w:rPr>
          <w:rFonts w:hint="eastAsia" w:asciiTheme="minorEastAsia" w:hAnsiTheme="minorEastAsia" w:eastAsiaTheme="minorEastAsia"/>
        </w:rPr>
        <w:t>售后服务响应时间：</w:t>
      </w:r>
      <w:r>
        <w:rPr>
          <w:rFonts w:asciiTheme="minorEastAsia" w:hAnsiTheme="minorEastAsia" w:eastAsiaTheme="minorEastAsia"/>
        </w:rPr>
        <w:t>供应商应提供</w:t>
      </w:r>
      <w:r>
        <w:rPr>
          <w:rFonts w:hint="eastAsia" w:asciiTheme="minorEastAsia" w:hAnsiTheme="minorEastAsia" w:eastAsiaTheme="minorEastAsia"/>
        </w:rPr>
        <w:t>7*24小时</w:t>
      </w:r>
      <w:r>
        <w:rPr>
          <w:rFonts w:asciiTheme="minorEastAsia" w:hAnsiTheme="minorEastAsia" w:eastAsiaTheme="minorEastAsia"/>
        </w:rPr>
        <w:t>的现场支援、技术咨询和故障受理服务，</w:t>
      </w:r>
      <w:r>
        <w:rPr>
          <w:rFonts w:cs="宋体" w:asciiTheme="minorEastAsia" w:hAnsiTheme="minorEastAsia" w:eastAsiaTheme="minorEastAsia"/>
          <w:szCs w:val="21"/>
        </w:rPr>
        <w:t>在</w:t>
      </w:r>
      <w:r>
        <w:rPr>
          <w:rFonts w:hint="eastAsia" w:cs="宋体" w:asciiTheme="minorEastAsia" w:hAnsiTheme="minorEastAsia" w:eastAsiaTheme="minorEastAsia"/>
          <w:szCs w:val="21"/>
        </w:rPr>
        <w:t>质保</w:t>
      </w:r>
      <w:r>
        <w:rPr>
          <w:rFonts w:cs="宋体" w:asciiTheme="minorEastAsia" w:hAnsiTheme="minorEastAsia" w:eastAsiaTheme="minorEastAsia"/>
          <w:szCs w:val="21"/>
        </w:rPr>
        <w:t>期内，供应商响应时间</w:t>
      </w:r>
      <w:r>
        <w:rPr>
          <w:rFonts w:hint="eastAsia" w:cs="宋体" w:asciiTheme="minorEastAsia" w:hAnsiTheme="minorEastAsia" w:eastAsiaTheme="minorEastAsia"/>
          <w:szCs w:val="21"/>
        </w:rPr>
        <w:t>为30分</w:t>
      </w:r>
      <w:r>
        <w:rPr>
          <w:rFonts w:cs="宋体" w:asciiTheme="minorEastAsia" w:hAnsiTheme="minorEastAsia" w:eastAsiaTheme="minorEastAsia"/>
          <w:szCs w:val="21"/>
        </w:rPr>
        <w:t>钟</w:t>
      </w:r>
      <w:r>
        <w:rPr>
          <w:rFonts w:hint="eastAsia" w:cs="宋体" w:asciiTheme="minorEastAsia" w:hAnsiTheme="minorEastAsia" w:eastAsiaTheme="minorEastAsia"/>
          <w:szCs w:val="21"/>
        </w:rPr>
        <w:t>内</w:t>
      </w:r>
      <w:r>
        <w:rPr>
          <w:rFonts w:cs="宋体" w:asciiTheme="minorEastAsia" w:hAnsiTheme="minorEastAsia" w:eastAsiaTheme="minorEastAsia"/>
          <w:szCs w:val="21"/>
        </w:rPr>
        <w:t>，到达现场时间为1</w:t>
      </w:r>
      <w:r>
        <w:rPr>
          <w:rFonts w:hint="eastAsia" w:cs="宋体" w:asciiTheme="minorEastAsia" w:hAnsiTheme="minorEastAsia" w:eastAsiaTheme="minorEastAsia"/>
          <w:szCs w:val="21"/>
        </w:rPr>
        <w:t>小时内</w:t>
      </w:r>
      <w:r>
        <w:rPr>
          <w:rFonts w:cs="宋体" w:asciiTheme="minorEastAsia" w:hAnsiTheme="minorEastAsia" w:eastAsiaTheme="minorEastAsia"/>
          <w:szCs w:val="21"/>
        </w:rPr>
        <w:t>，</w:t>
      </w:r>
      <w:r>
        <w:rPr>
          <w:rFonts w:hint="eastAsia" w:cs="宋体" w:asciiTheme="minorEastAsia" w:hAnsiTheme="minorEastAsia" w:eastAsiaTheme="minorEastAsia"/>
          <w:szCs w:val="21"/>
        </w:rPr>
        <w:t>并</w:t>
      </w:r>
      <w:r>
        <w:rPr>
          <w:rFonts w:cs="宋体" w:asciiTheme="minorEastAsia" w:hAnsiTheme="minorEastAsia" w:eastAsiaTheme="minorEastAsia"/>
          <w:szCs w:val="21"/>
        </w:rPr>
        <w:t>需在2</w:t>
      </w:r>
      <w:r>
        <w:rPr>
          <w:rFonts w:hint="eastAsia" w:cs="宋体" w:asciiTheme="minorEastAsia" w:hAnsiTheme="minorEastAsia" w:eastAsiaTheme="minorEastAsia"/>
          <w:szCs w:val="21"/>
        </w:rPr>
        <w:t>小时</w:t>
      </w:r>
      <w:r>
        <w:rPr>
          <w:rFonts w:cs="宋体" w:asciiTheme="minorEastAsia" w:hAnsiTheme="minorEastAsia" w:eastAsiaTheme="minorEastAsia"/>
          <w:szCs w:val="21"/>
        </w:rPr>
        <w:t>内</w:t>
      </w:r>
      <w:r>
        <w:rPr>
          <w:rFonts w:hint="eastAsia" w:cs="宋体" w:asciiTheme="minorEastAsia" w:hAnsiTheme="minorEastAsia" w:eastAsiaTheme="minorEastAsia"/>
          <w:szCs w:val="21"/>
        </w:rPr>
        <w:t>解决</w:t>
      </w:r>
      <w:r>
        <w:rPr>
          <w:rFonts w:cs="宋体" w:asciiTheme="minorEastAsia" w:hAnsiTheme="minorEastAsia" w:eastAsiaTheme="minorEastAsia"/>
          <w:szCs w:val="21"/>
        </w:rPr>
        <w:t>故障</w:t>
      </w:r>
      <w:r>
        <w:rPr>
          <w:rFonts w:hint="eastAsia" w:cs="宋体" w:asciiTheme="minorEastAsia" w:hAnsiTheme="minorEastAsia" w:eastAsiaTheme="minorEastAsia"/>
          <w:szCs w:val="21"/>
        </w:rPr>
        <w:t>；如果不能解决故障，则需提供相同规格的产品作为代用品。</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5、供应商需上门进行安装及技术支持，</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以现场服务为主，其它电话指导、邮件指导、远程维护、技术交流等</w:t>
      </w:r>
      <w:r>
        <w:rPr>
          <w:rFonts w:cs="宋体" w:asciiTheme="minorEastAsia" w:hAnsiTheme="minorEastAsia" w:eastAsiaTheme="minorEastAsia"/>
          <w:szCs w:val="21"/>
        </w:rPr>
        <w:t>服务</w:t>
      </w:r>
      <w:r>
        <w:rPr>
          <w:rFonts w:hint="eastAsia" w:cs="宋体" w:asciiTheme="minorEastAsia" w:hAnsiTheme="minorEastAsia" w:eastAsiaTheme="minorEastAsia"/>
          <w:szCs w:val="21"/>
        </w:rPr>
        <w:t>方式不限。</w:t>
      </w:r>
    </w:p>
    <w:p>
      <w:pPr>
        <w:spacing w:line="360" w:lineRule="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6、质量保修期不少于</w:t>
      </w:r>
      <w:r>
        <w:rPr>
          <w:rFonts w:hint="eastAsia" w:cs="宋体" w:asciiTheme="minorEastAsia" w:hAnsiTheme="minorEastAsia" w:eastAsiaTheme="minorEastAsia"/>
          <w:szCs w:val="21"/>
          <w:lang w:eastAsia="zh-CN"/>
        </w:rPr>
        <w:t>一</w:t>
      </w:r>
      <w:r>
        <w:rPr>
          <w:rFonts w:hint="eastAsia" w:cs="宋体" w:asciiTheme="minorEastAsia" w:hAnsiTheme="minorEastAsia" w:eastAsiaTheme="minorEastAsia"/>
          <w:color w:val="auto"/>
          <w:szCs w:val="21"/>
        </w:rPr>
        <w:t>年</w:t>
      </w:r>
      <w:r>
        <w:rPr>
          <w:rFonts w:hint="eastAsia" w:cs="宋体" w:asciiTheme="minorEastAsia" w:hAnsiTheme="minorEastAsia" w:eastAsiaTheme="minorEastAsia"/>
          <w:szCs w:val="21"/>
        </w:rPr>
        <w:t>，</w:t>
      </w:r>
      <w:r>
        <w:rPr>
          <w:rFonts w:hint="eastAsia" w:ascii="宋体" w:hAnsi="宋体"/>
          <w:szCs w:val="21"/>
        </w:rPr>
        <w:t>在质保期内，供应商免费提供每年不少于四次现场巡检服务，检查设备运行健康状态，及时排查隐患。</w:t>
      </w:r>
    </w:p>
    <w:p>
      <w:pPr>
        <w:widowControl/>
        <w:spacing w:line="360" w:lineRule="auto"/>
        <w:jc w:val="left"/>
        <w:rPr>
          <w:b/>
          <w:sz w:val="24"/>
        </w:rPr>
      </w:pPr>
      <w:bookmarkStart w:id="0" w:name="_GoBack"/>
      <w:bookmarkEnd w:id="0"/>
    </w:p>
    <w:p>
      <w:pPr>
        <w:widowControl/>
        <w:spacing w:line="384" w:lineRule="auto"/>
        <w:jc w:val="left"/>
        <w:rPr>
          <w:sz w:val="24"/>
        </w:rPr>
      </w:pPr>
      <w:r>
        <w:rPr>
          <w:rFonts w:hint="eastAsia"/>
          <w:b/>
          <w:sz w:val="24"/>
        </w:rPr>
        <w:t>五、验收与结算</w:t>
      </w:r>
    </w:p>
    <w:p>
      <w:pPr>
        <w:spacing w:line="360" w:lineRule="auto"/>
        <w:rPr>
          <w:rFonts w:asciiTheme="minorEastAsia" w:hAnsiTheme="minorEastAsia" w:eastAsiaTheme="minorEastAsia"/>
          <w:color w:val="000000"/>
        </w:rPr>
      </w:pPr>
      <w:r>
        <w:rPr>
          <w:rFonts w:hint="eastAsia" w:cs="宋体" w:asciiTheme="minorEastAsia" w:hAnsiTheme="minorEastAsia" w:eastAsiaTheme="minorEastAsia"/>
          <w:szCs w:val="21"/>
        </w:rPr>
        <w:t>1、供应商将货物送到采购人指定地点，安装调试后按</w:t>
      </w:r>
      <w:r>
        <w:rPr>
          <w:rFonts w:hint="eastAsia" w:asciiTheme="minorEastAsia" w:hAnsiTheme="minorEastAsia" w:eastAsiaTheme="minorEastAsia"/>
          <w:color w:val="000000"/>
        </w:rPr>
        <w:t>国家相关标准、行业标准及项目要求进行验收</w:t>
      </w:r>
      <w:r>
        <w:rPr>
          <w:rFonts w:asciiTheme="minorEastAsia" w:hAnsiTheme="minorEastAsia" w:eastAsiaTheme="minorEastAsia"/>
          <w:color w:val="000000"/>
        </w:rPr>
        <w:t>。</w:t>
      </w:r>
    </w:p>
    <w:p>
      <w:pPr>
        <w:spacing w:line="360" w:lineRule="auto"/>
        <w:rPr>
          <w:rFonts w:cs="宋体" w:asciiTheme="minorEastAsia" w:hAnsiTheme="minorEastAsia" w:eastAsiaTheme="minorEastAsia"/>
          <w:szCs w:val="21"/>
        </w:rPr>
      </w:pPr>
      <w:r>
        <w:rPr>
          <w:rFonts w:hint="eastAsia" w:asciiTheme="minorEastAsia" w:hAnsiTheme="minorEastAsia" w:eastAsiaTheme="minorEastAsia"/>
          <w:color w:val="000000"/>
        </w:rPr>
        <w:t>2、供应商需将所有设备的用户手册、保修手册、有关单证资料及配备件、随机工具等交付给采购人。</w:t>
      </w:r>
    </w:p>
    <w:p>
      <w:pPr>
        <w:spacing w:line="360" w:lineRule="auto"/>
        <w:rPr>
          <w:rFonts w:cs="宋体" w:asciiTheme="minorEastAsia" w:hAnsiTheme="minorEastAsia" w:eastAsiaTheme="minorEastAsia"/>
          <w:szCs w:val="21"/>
        </w:rPr>
      </w:pPr>
      <w:r>
        <w:rPr>
          <w:rFonts w:hint="eastAsia" w:asciiTheme="minorEastAsia" w:hAnsiTheme="minorEastAsia" w:eastAsiaTheme="minorEastAsia"/>
          <w:color w:val="000000"/>
        </w:rPr>
        <w:t>3、供应商须提供免费的培训服务，直接采购人熟悉设备操作及日常保养为止。</w:t>
      </w:r>
    </w:p>
    <w:p>
      <w:pPr>
        <w:spacing w:line="360" w:lineRule="auto"/>
        <w:rPr>
          <w:rFonts w:asciiTheme="minorEastAsia" w:hAnsiTheme="minorEastAsia" w:eastAsiaTheme="minorEastAsia"/>
        </w:rPr>
      </w:pPr>
      <w:r>
        <w:rPr>
          <w:rFonts w:hint="eastAsia" w:asciiTheme="minorEastAsia" w:hAnsiTheme="minorEastAsia" w:eastAsiaTheme="minorEastAsia"/>
        </w:rPr>
        <w:t>4、项目</w:t>
      </w:r>
      <w:r>
        <w:rPr>
          <w:rFonts w:asciiTheme="minorEastAsia" w:hAnsiTheme="minorEastAsia" w:eastAsiaTheme="minorEastAsia"/>
        </w:rPr>
        <w:t>验收合格，凭</w:t>
      </w:r>
      <w:r>
        <w:rPr>
          <w:rFonts w:hint="eastAsia" w:asciiTheme="minorEastAsia" w:hAnsiTheme="minorEastAsia" w:eastAsiaTheme="minorEastAsia"/>
        </w:rPr>
        <w:t>供应商</w:t>
      </w:r>
      <w:r>
        <w:rPr>
          <w:rFonts w:asciiTheme="minorEastAsia" w:hAnsiTheme="minorEastAsia" w:eastAsiaTheme="minorEastAsia"/>
        </w:rPr>
        <w:t>开具的全额发票</w:t>
      </w:r>
      <w:r>
        <w:rPr>
          <w:rFonts w:hint="eastAsia" w:asciiTheme="minorEastAsia" w:hAnsiTheme="minorEastAsia" w:eastAsiaTheme="minorEastAsia"/>
        </w:rPr>
        <w:t>和验收资料</w:t>
      </w:r>
      <w:r>
        <w:rPr>
          <w:rFonts w:asciiTheme="minorEastAsia" w:hAnsiTheme="minorEastAsia" w:eastAsiaTheme="minorEastAsia"/>
        </w:rPr>
        <w:t>，</w:t>
      </w:r>
      <w:r>
        <w:rPr>
          <w:rFonts w:hint="eastAsia" w:asciiTheme="minorEastAsia" w:hAnsiTheme="minorEastAsia" w:eastAsiaTheme="minorEastAsia"/>
        </w:rPr>
        <w:t>采购</w:t>
      </w:r>
      <w:r>
        <w:rPr>
          <w:rFonts w:asciiTheme="minorEastAsia" w:hAnsiTheme="minorEastAsia" w:eastAsiaTheme="minorEastAsia"/>
        </w:rPr>
        <w:t>人于60</w:t>
      </w:r>
      <w:r>
        <w:rPr>
          <w:rFonts w:hint="eastAsia" w:asciiTheme="minorEastAsia" w:hAnsiTheme="minorEastAsia" w:eastAsiaTheme="minorEastAsia"/>
        </w:rPr>
        <w:t>个自然日</w:t>
      </w:r>
      <w:r>
        <w:rPr>
          <w:rFonts w:asciiTheme="minorEastAsia" w:hAnsiTheme="minorEastAsia" w:eastAsiaTheme="minorEastAsia"/>
        </w:rPr>
        <w:t>内支付</w:t>
      </w:r>
      <w:r>
        <w:rPr>
          <w:rFonts w:hint="eastAsia" w:asciiTheme="minorEastAsia" w:hAnsiTheme="minorEastAsia" w:eastAsiaTheme="minorEastAsia"/>
        </w:rPr>
        <w:t>合同款项；如中标人为中小企业，按中小企业相关法律法规或政策执行。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b/>
      </w:rPr>
      <w:fldChar w:fldCharType="begin"/>
    </w:r>
    <w:r>
      <w:rPr>
        <w:b/>
      </w:rPr>
      <w:instrText xml:space="preserve">PAGE</w:instrText>
    </w:r>
    <w:r>
      <w:rPr>
        <w:b/>
      </w:rPr>
      <w:fldChar w:fldCharType="separate"/>
    </w:r>
    <w:r>
      <w:rPr>
        <w:b/>
      </w:rPr>
      <w:t>1</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3</w:t>
    </w:r>
    <w:r>
      <w:rPr>
        <w:b/>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IzODU0MjAwOWUxMThhZjYxMGI0NTJhNTUzOGIwOTIifQ=="/>
  </w:docVars>
  <w:rsids>
    <w:rsidRoot w:val="006E384B"/>
    <w:rsid w:val="00003A55"/>
    <w:rsid w:val="00012E8F"/>
    <w:rsid w:val="000156C9"/>
    <w:rsid w:val="000211E6"/>
    <w:rsid w:val="00026BFE"/>
    <w:rsid w:val="000401D3"/>
    <w:rsid w:val="00040417"/>
    <w:rsid w:val="0004115B"/>
    <w:rsid w:val="00050180"/>
    <w:rsid w:val="00050EE0"/>
    <w:rsid w:val="00060880"/>
    <w:rsid w:val="000609A5"/>
    <w:rsid w:val="00062BE2"/>
    <w:rsid w:val="000648C2"/>
    <w:rsid w:val="000656F0"/>
    <w:rsid w:val="0007184A"/>
    <w:rsid w:val="00081FD9"/>
    <w:rsid w:val="00086879"/>
    <w:rsid w:val="000A075D"/>
    <w:rsid w:val="000A1DDD"/>
    <w:rsid w:val="000A3EB8"/>
    <w:rsid w:val="000A63A3"/>
    <w:rsid w:val="000B200F"/>
    <w:rsid w:val="000B434A"/>
    <w:rsid w:val="000B5AEC"/>
    <w:rsid w:val="000C1A22"/>
    <w:rsid w:val="000C296F"/>
    <w:rsid w:val="000C44AD"/>
    <w:rsid w:val="000C5973"/>
    <w:rsid w:val="000C5C14"/>
    <w:rsid w:val="000D0B76"/>
    <w:rsid w:val="000E0602"/>
    <w:rsid w:val="000E72F1"/>
    <w:rsid w:val="000E7E8C"/>
    <w:rsid w:val="000F188A"/>
    <w:rsid w:val="000F329A"/>
    <w:rsid w:val="000F4FD3"/>
    <w:rsid w:val="000F57FC"/>
    <w:rsid w:val="00100D32"/>
    <w:rsid w:val="00103DBF"/>
    <w:rsid w:val="001044C7"/>
    <w:rsid w:val="00106086"/>
    <w:rsid w:val="00115198"/>
    <w:rsid w:val="001252F7"/>
    <w:rsid w:val="00126C52"/>
    <w:rsid w:val="001317B0"/>
    <w:rsid w:val="0013287F"/>
    <w:rsid w:val="00136F8E"/>
    <w:rsid w:val="00140F07"/>
    <w:rsid w:val="001417C1"/>
    <w:rsid w:val="001470E0"/>
    <w:rsid w:val="00147B41"/>
    <w:rsid w:val="00147B8D"/>
    <w:rsid w:val="001725EC"/>
    <w:rsid w:val="001771EA"/>
    <w:rsid w:val="001908E4"/>
    <w:rsid w:val="00190CC9"/>
    <w:rsid w:val="00190F1A"/>
    <w:rsid w:val="001A3A7C"/>
    <w:rsid w:val="001A5AA0"/>
    <w:rsid w:val="001B392C"/>
    <w:rsid w:val="001B43C2"/>
    <w:rsid w:val="001B771E"/>
    <w:rsid w:val="001C64CE"/>
    <w:rsid w:val="001C6CC0"/>
    <w:rsid w:val="001D1B83"/>
    <w:rsid w:val="001D547C"/>
    <w:rsid w:val="001D7351"/>
    <w:rsid w:val="001E32BE"/>
    <w:rsid w:val="001E6BEB"/>
    <w:rsid w:val="001F214A"/>
    <w:rsid w:val="001F30C5"/>
    <w:rsid w:val="001F4D3B"/>
    <w:rsid w:val="001F52FB"/>
    <w:rsid w:val="001F5C19"/>
    <w:rsid w:val="001F63E1"/>
    <w:rsid w:val="001F7C64"/>
    <w:rsid w:val="002002C9"/>
    <w:rsid w:val="00206AC2"/>
    <w:rsid w:val="00206C8F"/>
    <w:rsid w:val="00211407"/>
    <w:rsid w:val="0021556F"/>
    <w:rsid w:val="00223CFE"/>
    <w:rsid w:val="002251EF"/>
    <w:rsid w:val="00225831"/>
    <w:rsid w:val="00227BD2"/>
    <w:rsid w:val="00231BC5"/>
    <w:rsid w:val="002336B8"/>
    <w:rsid w:val="00235A33"/>
    <w:rsid w:val="00236BCD"/>
    <w:rsid w:val="002403DE"/>
    <w:rsid w:val="00240B33"/>
    <w:rsid w:val="00246952"/>
    <w:rsid w:val="002511B7"/>
    <w:rsid w:val="00251C76"/>
    <w:rsid w:val="00254481"/>
    <w:rsid w:val="00257CB3"/>
    <w:rsid w:val="00262B06"/>
    <w:rsid w:val="00267BB1"/>
    <w:rsid w:val="00271584"/>
    <w:rsid w:val="00272615"/>
    <w:rsid w:val="00275A7F"/>
    <w:rsid w:val="0028001A"/>
    <w:rsid w:val="002852D0"/>
    <w:rsid w:val="002919AD"/>
    <w:rsid w:val="002945AA"/>
    <w:rsid w:val="002A3784"/>
    <w:rsid w:val="002B613F"/>
    <w:rsid w:val="002C1DCF"/>
    <w:rsid w:val="002C6B84"/>
    <w:rsid w:val="002F2BCA"/>
    <w:rsid w:val="002F470C"/>
    <w:rsid w:val="002F663A"/>
    <w:rsid w:val="002F6FBF"/>
    <w:rsid w:val="003007D7"/>
    <w:rsid w:val="003013A1"/>
    <w:rsid w:val="0030175E"/>
    <w:rsid w:val="00301A4B"/>
    <w:rsid w:val="00301B99"/>
    <w:rsid w:val="00311679"/>
    <w:rsid w:val="00312009"/>
    <w:rsid w:val="00314312"/>
    <w:rsid w:val="00316432"/>
    <w:rsid w:val="00320D76"/>
    <w:rsid w:val="00324217"/>
    <w:rsid w:val="003242B5"/>
    <w:rsid w:val="00324E2D"/>
    <w:rsid w:val="003259EF"/>
    <w:rsid w:val="00331720"/>
    <w:rsid w:val="00334C99"/>
    <w:rsid w:val="00337126"/>
    <w:rsid w:val="00341BB1"/>
    <w:rsid w:val="00347319"/>
    <w:rsid w:val="00353CCE"/>
    <w:rsid w:val="003566C0"/>
    <w:rsid w:val="00363D3C"/>
    <w:rsid w:val="003675A4"/>
    <w:rsid w:val="00372058"/>
    <w:rsid w:val="0037509F"/>
    <w:rsid w:val="003759CD"/>
    <w:rsid w:val="00375E88"/>
    <w:rsid w:val="00376CDB"/>
    <w:rsid w:val="003806F4"/>
    <w:rsid w:val="00385202"/>
    <w:rsid w:val="00385569"/>
    <w:rsid w:val="00386E72"/>
    <w:rsid w:val="00390347"/>
    <w:rsid w:val="0039283A"/>
    <w:rsid w:val="00393472"/>
    <w:rsid w:val="003964C6"/>
    <w:rsid w:val="00396D19"/>
    <w:rsid w:val="003974BF"/>
    <w:rsid w:val="003A1421"/>
    <w:rsid w:val="003A1A6A"/>
    <w:rsid w:val="003A2DE8"/>
    <w:rsid w:val="003B152A"/>
    <w:rsid w:val="003B29D4"/>
    <w:rsid w:val="003B75A6"/>
    <w:rsid w:val="003C002D"/>
    <w:rsid w:val="003C3562"/>
    <w:rsid w:val="003C7D48"/>
    <w:rsid w:val="003D1941"/>
    <w:rsid w:val="003D25D4"/>
    <w:rsid w:val="003D2651"/>
    <w:rsid w:val="003D30A6"/>
    <w:rsid w:val="003E755C"/>
    <w:rsid w:val="00400AC6"/>
    <w:rsid w:val="0040165C"/>
    <w:rsid w:val="00407EE7"/>
    <w:rsid w:val="00411422"/>
    <w:rsid w:val="00413DF0"/>
    <w:rsid w:val="00414EF7"/>
    <w:rsid w:val="00423751"/>
    <w:rsid w:val="004270DF"/>
    <w:rsid w:val="00427D53"/>
    <w:rsid w:val="00431CAB"/>
    <w:rsid w:val="0043473E"/>
    <w:rsid w:val="00434FEE"/>
    <w:rsid w:val="0044256C"/>
    <w:rsid w:val="004449BF"/>
    <w:rsid w:val="00447EC7"/>
    <w:rsid w:val="0045152C"/>
    <w:rsid w:val="004537DB"/>
    <w:rsid w:val="00453E9F"/>
    <w:rsid w:val="004551CA"/>
    <w:rsid w:val="00460841"/>
    <w:rsid w:val="00461147"/>
    <w:rsid w:val="004612D1"/>
    <w:rsid w:val="0046447A"/>
    <w:rsid w:val="00464646"/>
    <w:rsid w:val="00465888"/>
    <w:rsid w:val="004660ED"/>
    <w:rsid w:val="004716DC"/>
    <w:rsid w:val="004740C1"/>
    <w:rsid w:val="00481EE0"/>
    <w:rsid w:val="00482FAC"/>
    <w:rsid w:val="00483E2D"/>
    <w:rsid w:val="004851F4"/>
    <w:rsid w:val="004A077E"/>
    <w:rsid w:val="004A4D88"/>
    <w:rsid w:val="004A5F17"/>
    <w:rsid w:val="004A7685"/>
    <w:rsid w:val="004B7EA6"/>
    <w:rsid w:val="004D0604"/>
    <w:rsid w:val="004D6B9C"/>
    <w:rsid w:val="004D714A"/>
    <w:rsid w:val="004E4E07"/>
    <w:rsid w:val="004E6067"/>
    <w:rsid w:val="004F1B50"/>
    <w:rsid w:val="004F4E54"/>
    <w:rsid w:val="00504A3C"/>
    <w:rsid w:val="00511413"/>
    <w:rsid w:val="0051212A"/>
    <w:rsid w:val="00512E07"/>
    <w:rsid w:val="00516E17"/>
    <w:rsid w:val="00526C22"/>
    <w:rsid w:val="0053106E"/>
    <w:rsid w:val="005315BB"/>
    <w:rsid w:val="00541A8B"/>
    <w:rsid w:val="00543AF6"/>
    <w:rsid w:val="00554A7C"/>
    <w:rsid w:val="005558FF"/>
    <w:rsid w:val="0055660F"/>
    <w:rsid w:val="00556D00"/>
    <w:rsid w:val="00557841"/>
    <w:rsid w:val="00557AF4"/>
    <w:rsid w:val="0056193E"/>
    <w:rsid w:val="00567AE1"/>
    <w:rsid w:val="005705AD"/>
    <w:rsid w:val="005817C6"/>
    <w:rsid w:val="005834CE"/>
    <w:rsid w:val="00590133"/>
    <w:rsid w:val="00590B17"/>
    <w:rsid w:val="00596D2B"/>
    <w:rsid w:val="005A0A36"/>
    <w:rsid w:val="005A5AEC"/>
    <w:rsid w:val="005B3A30"/>
    <w:rsid w:val="005C6397"/>
    <w:rsid w:val="005E26A1"/>
    <w:rsid w:val="005E7C1F"/>
    <w:rsid w:val="005F175A"/>
    <w:rsid w:val="00602992"/>
    <w:rsid w:val="006112E3"/>
    <w:rsid w:val="00614542"/>
    <w:rsid w:val="006150AA"/>
    <w:rsid w:val="00623714"/>
    <w:rsid w:val="0062419F"/>
    <w:rsid w:val="00631FB6"/>
    <w:rsid w:val="00635E23"/>
    <w:rsid w:val="00636726"/>
    <w:rsid w:val="00641F29"/>
    <w:rsid w:val="00644395"/>
    <w:rsid w:val="00644B89"/>
    <w:rsid w:val="00646BA6"/>
    <w:rsid w:val="00651CE1"/>
    <w:rsid w:val="00655548"/>
    <w:rsid w:val="00671F8C"/>
    <w:rsid w:val="006720EC"/>
    <w:rsid w:val="006763AC"/>
    <w:rsid w:val="00676949"/>
    <w:rsid w:val="006804F5"/>
    <w:rsid w:val="00687FD7"/>
    <w:rsid w:val="006928E2"/>
    <w:rsid w:val="006937C9"/>
    <w:rsid w:val="006946A9"/>
    <w:rsid w:val="00694E76"/>
    <w:rsid w:val="006A1356"/>
    <w:rsid w:val="006A18DB"/>
    <w:rsid w:val="006A37A7"/>
    <w:rsid w:val="006A550C"/>
    <w:rsid w:val="006C09BC"/>
    <w:rsid w:val="006C2315"/>
    <w:rsid w:val="006C36D4"/>
    <w:rsid w:val="006C395A"/>
    <w:rsid w:val="006C45FD"/>
    <w:rsid w:val="006C4A1E"/>
    <w:rsid w:val="006C4B2E"/>
    <w:rsid w:val="006C60BB"/>
    <w:rsid w:val="006C7AC3"/>
    <w:rsid w:val="006D0AFC"/>
    <w:rsid w:val="006D38F3"/>
    <w:rsid w:val="006D7F03"/>
    <w:rsid w:val="006E0CBB"/>
    <w:rsid w:val="006E384B"/>
    <w:rsid w:val="006F731D"/>
    <w:rsid w:val="00704928"/>
    <w:rsid w:val="00715B8E"/>
    <w:rsid w:val="00716EEE"/>
    <w:rsid w:val="00723A71"/>
    <w:rsid w:val="00723BD5"/>
    <w:rsid w:val="00723ECE"/>
    <w:rsid w:val="0072483F"/>
    <w:rsid w:val="007321A9"/>
    <w:rsid w:val="00743E57"/>
    <w:rsid w:val="00744AFD"/>
    <w:rsid w:val="007471F8"/>
    <w:rsid w:val="007510B3"/>
    <w:rsid w:val="007515AD"/>
    <w:rsid w:val="0075628B"/>
    <w:rsid w:val="00761A5E"/>
    <w:rsid w:val="00774CF0"/>
    <w:rsid w:val="00783D5E"/>
    <w:rsid w:val="00786F4C"/>
    <w:rsid w:val="00790422"/>
    <w:rsid w:val="00797CEC"/>
    <w:rsid w:val="007A07C9"/>
    <w:rsid w:val="007A1306"/>
    <w:rsid w:val="007A1A44"/>
    <w:rsid w:val="007A4C9C"/>
    <w:rsid w:val="007B06EB"/>
    <w:rsid w:val="007B0D80"/>
    <w:rsid w:val="007B2275"/>
    <w:rsid w:val="007B33A7"/>
    <w:rsid w:val="007B64B0"/>
    <w:rsid w:val="007D7C20"/>
    <w:rsid w:val="007F4827"/>
    <w:rsid w:val="007F6302"/>
    <w:rsid w:val="008027AE"/>
    <w:rsid w:val="00804208"/>
    <w:rsid w:val="008069AD"/>
    <w:rsid w:val="00806DEF"/>
    <w:rsid w:val="00815D7C"/>
    <w:rsid w:val="008210D3"/>
    <w:rsid w:val="0082713B"/>
    <w:rsid w:val="008301F3"/>
    <w:rsid w:val="00830C3B"/>
    <w:rsid w:val="00832C0E"/>
    <w:rsid w:val="00834C77"/>
    <w:rsid w:val="0084028C"/>
    <w:rsid w:val="00842C0F"/>
    <w:rsid w:val="00842ECF"/>
    <w:rsid w:val="008462D7"/>
    <w:rsid w:val="00856C53"/>
    <w:rsid w:val="00861917"/>
    <w:rsid w:val="00862A91"/>
    <w:rsid w:val="00862B90"/>
    <w:rsid w:val="00866831"/>
    <w:rsid w:val="00866C8F"/>
    <w:rsid w:val="00867370"/>
    <w:rsid w:val="00873CCE"/>
    <w:rsid w:val="00875E7D"/>
    <w:rsid w:val="008806A2"/>
    <w:rsid w:val="008905F7"/>
    <w:rsid w:val="008925A2"/>
    <w:rsid w:val="00893A4F"/>
    <w:rsid w:val="00894532"/>
    <w:rsid w:val="008A0E65"/>
    <w:rsid w:val="008A4B79"/>
    <w:rsid w:val="008B08B3"/>
    <w:rsid w:val="008B157B"/>
    <w:rsid w:val="008B31CF"/>
    <w:rsid w:val="008B5440"/>
    <w:rsid w:val="008B6514"/>
    <w:rsid w:val="008C0334"/>
    <w:rsid w:val="008C4B6B"/>
    <w:rsid w:val="008D1828"/>
    <w:rsid w:val="008E1634"/>
    <w:rsid w:val="008E35DF"/>
    <w:rsid w:val="008E3EB6"/>
    <w:rsid w:val="008E589B"/>
    <w:rsid w:val="008F4D06"/>
    <w:rsid w:val="008F4DBC"/>
    <w:rsid w:val="00902918"/>
    <w:rsid w:val="009122E4"/>
    <w:rsid w:val="009133F6"/>
    <w:rsid w:val="00930FC2"/>
    <w:rsid w:val="00941E85"/>
    <w:rsid w:val="00961ED6"/>
    <w:rsid w:val="009660B8"/>
    <w:rsid w:val="0097057D"/>
    <w:rsid w:val="009708C2"/>
    <w:rsid w:val="009753E1"/>
    <w:rsid w:val="0098197F"/>
    <w:rsid w:val="0098457D"/>
    <w:rsid w:val="0098731F"/>
    <w:rsid w:val="00990E9A"/>
    <w:rsid w:val="00994317"/>
    <w:rsid w:val="00994B39"/>
    <w:rsid w:val="00996C0B"/>
    <w:rsid w:val="009A09B6"/>
    <w:rsid w:val="009A27C8"/>
    <w:rsid w:val="009C1C41"/>
    <w:rsid w:val="009C30A4"/>
    <w:rsid w:val="009C4453"/>
    <w:rsid w:val="009D064B"/>
    <w:rsid w:val="009D28F8"/>
    <w:rsid w:val="009D533A"/>
    <w:rsid w:val="009D6678"/>
    <w:rsid w:val="009D6F9A"/>
    <w:rsid w:val="009D7AB4"/>
    <w:rsid w:val="009E35CA"/>
    <w:rsid w:val="009E64ED"/>
    <w:rsid w:val="009E675E"/>
    <w:rsid w:val="009F06F3"/>
    <w:rsid w:val="009F4752"/>
    <w:rsid w:val="00A040B5"/>
    <w:rsid w:val="00A041D5"/>
    <w:rsid w:val="00A07949"/>
    <w:rsid w:val="00A100E0"/>
    <w:rsid w:val="00A130E2"/>
    <w:rsid w:val="00A13C28"/>
    <w:rsid w:val="00A15181"/>
    <w:rsid w:val="00A2065B"/>
    <w:rsid w:val="00A32576"/>
    <w:rsid w:val="00A33FC6"/>
    <w:rsid w:val="00A34BCA"/>
    <w:rsid w:val="00A42BC7"/>
    <w:rsid w:val="00A42DF2"/>
    <w:rsid w:val="00A47B03"/>
    <w:rsid w:val="00A51097"/>
    <w:rsid w:val="00A51E0E"/>
    <w:rsid w:val="00A5399B"/>
    <w:rsid w:val="00A543B3"/>
    <w:rsid w:val="00A5736A"/>
    <w:rsid w:val="00A61D13"/>
    <w:rsid w:val="00A6460D"/>
    <w:rsid w:val="00A66B75"/>
    <w:rsid w:val="00A710C5"/>
    <w:rsid w:val="00A740F7"/>
    <w:rsid w:val="00A74335"/>
    <w:rsid w:val="00A74D6A"/>
    <w:rsid w:val="00A82B22"/>
    <w:rsid w:val="00A8591D"/>
    <w:rsid w:val="00A95CA4"/>
    <w:rsid w:val="00A970D0"/>
    <w:rsid w:val="00A97A2D"/>
    <w:rsid w:val="00AA185A"/>
    <w:rsid w:val="00AA5186"/>
    <w:rsid w:val="00AA5D18"/>
    <w:rsid w:val="00AB2934"/>
    <w:rsid w:val="00AB330E"/>
    <w:rsid w:val="00AB73C2"/>
    <w:rsid w:val="00AB7938"/>
    <w:rsid w:val="00AC49CF"/>
    <w:rsid w:val="00AC5502"/>
    <w:rsid w:val="00AC6E11"/>
    <w:rsid w:val="00AD0E2C"/>
    <w:rsid w:val="00AD4ECC"/>
    <w:rsid w:val="00AE7E7E"/>
    <w:rsid w:val="00AF5FC2"/>
    <w:rsid w:val="00AF7B80"/>
    <w:rsid w:val="00B02751"/>
    <w:rsid w:val="00B02B8A"/>
    <w:rsid w:val="00B0414B"/>
    <w:rsid w:val="00B07BE3"/>
    <w:rsid w:val="00B127A4"/>
    <w:rsid w:val="00B13240"/>
    <w:rsid w:val="00B209B5"/>
    <w:rsid w:val="00B231F3"/>
    <w:rsid w:val="00B23432"/>
    <w:rsid w:val="00B24C23"/>
    <w:rsid w:val="00B26120"/>
    <w:rsid w:val="00B273A8"/>
    <w:rsid w:val="00B27FDA"/>
    <w:rsid w:val="00B34FC3"/>
    <w:rsid w:val="00B450BF"/>
    <w:rsid w:val="00B5114C"/>
    <w:rsid w:val="00B544D0"/>
    <w:rsid w:val="00B56304"/>
    <w:rsid w:val="00B5707D"/>
    <w:rsid w:val="00B61A0C"/>
    <w:rsid w:val="00B63772"/>
    <w:rsid w:val="00B65B96"/>
    <w:rsid w:val="00B675C5"/>
    <w:rsid w:val="00B72163"/>
    <w:rsid w:val="00B72369"/>
    <w:rsid w:val="00B72C57"/>
    <w:rsid w:val="00B72E39"/>
    <w:rsid w:val="00B77DF1"/>
    <w:rsid w:val="00B800C1"/>
    <w:rsid w:val="00B8084D"/>
    <w:rsid w:val="00B85427"/>
    <w:rsid w:val="00B8727A"/>
    <w:rsid w:val="00B9182D"/>
    <w:rsid w:val="00B930F0"/>
    <w:rsid w:val="00B95D56"/>
    <w:rsid w:val="00B96D0E"/>
    <w:rsid w:val="00B974B3"/>
    <w:rsid w:val="00BA4CDF"/>
    <w:rsid w:val="00BA5AB7"/>
    <w:rsid w:val="00BB11D9"/>
    <w:rsid w:val="00BB2241"/>
    <w:rsid w:val="00BB23A1"/>
    <w:rsid w:val="00BB4BE3"/>
    <w:rsid w:val="00BB6C1E"/>
    <w:rsid w:val="00BC3BDC"/>
    <w:rsid w:val="00BD7EB0"/>
    <w:rsid w:val="00BD7FD9"/>
    <w:rsid w:val="00BE13BC"/>
    <w:rsid w:val="00BE2C5A"/>
    <w:rsid w:val="00BE3E96"/>
    <w:rsid w:val="00BF69AF"/>
    <w:rsid w:val="00C077BD"/>
    <w:rsid w:val="00C13AB5"/>
    <w:rsid w:val="00C170A3"/>
    <w:rsid w:val="00C20A6B"/>
    <w:rsid w:val="00C212E3"/>
    <w:rsid w:val="00C21823"/>
    <w:rsid w:val="00C22ED4"/>
    <w:rsid w:val="00C340C1"/>
    <w:rsid w:val="00C4094C"/>
    <w:rsid w:val="00C4501C"/>
    <w:rsid w:val="00C4779E"/>
    <w:rsid w:val="00C52CB3"/>
    <w:rsid w:val="00C57D6A"/>
    <w:rsid w:val="00C63F13"/>
    <w:rsid w:val="00C72B03"/>
    <w:rsid w:val="00C739AE"/>
    <w:rsid w:val="00C7534D"/>
    <w:rsid w:val="00C90330"/>
    <w:rsid w:val="00C9688E"/>
    <w:rsid w:val="00C96F33"/>
    <w:rsid w:val="00C97302"/>
    <w:rsid w:val="00CA320A"/>
    <w:rsid w:val="00CB177A"/>
    <w:rsid w:val="00CB40FD"/>
    <w:rsid w:val="00CB442F"/>
    <w:rsid w:val="00CC2983"/>
    <w:rsid w:val="00CC4288"/>
    <w:rsid w:val="00CC5F27"/>
    <w:rsid w:val="00CC6DE5"/>
    <w:rsid w:val="00CD3BF6"/>
    <w:rsid w:val="00CE00F4"/>
    <w:rsid w:val="00CE0AC8"/>
    <w:rsid w:val="00CE1496"/>
    <w:rsid w:val="00CE2AAA"/>
    <w:rsid w:val="00CE30D6"/>
    <w:rsid w:val="00CE3A24"/>
    <w:rsid w:val="00CE3E79"/>
    <w:rsid w:val="00CE457F"/>
    <w:rsid w:val="00CE6E12"/>
    <w:rsid w:val="00CF1266"/>
    <w:rsid w:val="00CF69E7"/>
    <w:rsid w:val="00D11AB9"/>
    <w:rsid w:val="00D12C88"/>
    <w:rsid w:val="00D1617B"/>
    <w:rsid w:val="00D30629"/>
    <w:rsid w:val="00D44C81"/>
    <w:rsid w:val="00D45387"/>
    <w:rsid w:val="00D52B97"/>
    <w:rsid w:val="00D55AD6"/>
    <w:rsid w:val="00D57B76"/>
    <w:rsid w:val="00D60E60"/>
    <w:rsid w:val="00D655F7"/>
    <w:rsid w:val="00D66A2A"/>
    <w:rsid w:val="00D70239"/>
    <w:rsid w:val="00D71738"/>
    <w:rsid w:val="00D7392C"/>
    <w:rsid w:val="00D77863"/>
    <w:rsid w:val="00D80ADB"/>
    <w:rsid w:val="00D85C8A"/>
    <w:rsid w:val="00D87BAA"/>
    <w:rsid w:val="00D87DEF"/>
    <w:rsid w:val="00D909BB"/>
    <w:rsid w:val="00D92EB3"/>
    <w:rsid w:val="00D9369E"/>
    <w:rsid w:val="00D94C07"/>
    <w:rsid w:val="00D95BB8"/>
    <w:rsid w:val="00DA1F4C"/>
    <w:rsid w:val="00DA2520"/>
    <w:rsid w:val="00DA5091"/>
    <w:rsid w:val="00DC6443"/>
    <w:rsid w:val="00DC753A"/>
    <w:rsid w:val="00DD137E"/>
    <w:rsid w:val="00DD428A"/>
    <w:rsid w:val="00DD43BC"/>
    <w:rsid w:val="00DD5006"/>
    <w:rsid w:val="00DD6997"/>
    <w:rsid w:val="00DE107F"/>
    <w:rsid w:val="00DE2768"/>
    <w:rsid w:val="00DE57A1"/>
    <w:rsid w:val="00DE5945"/>
    <w:rsid w:val="00DF4B06"/>
    <w:rsid w:val="00DF636B"/>
    <w:rsid w:val="00DF6CD1"/>
    <w:rsid w:val="00E03AA1"/>
    <w:rsid w:val="00E044CB"/>
    <w:rsid w:val="00E074CF"/>
    <w:rsid w:val="00E20101"/>
    <w:rsid w:val="00E22648"/>
    <w:rsid w:val="00E30BFC"/>
    <w:rsid w:val="00E31E36"/>
    <w:rsid w:val="00E336B8"/>
    <w:rsid w:val="00E55B75"/>
    <w:rsid w:val="00E565FE"/>
    <w:rsid w:val="00E60612"/>
    <w:rsid w:val="00E61538"/>
    <w:rsid w:val="00E615AE"/>
    <w:rsid w:val="00E627D0"/>
    <w:rsid w:val="00E631B4"/>
    <w:rsid w:val="00E632FA"/>
    <w:rsid w:val="00E661D3"/>
    <w:rsid w:val="00E70C20"/>
    <w:rsid w:val="00E73478"/>
    <w:rsid w:val="00E908CC"/>
    <w:rsid w:val="00E94D0F"/>
    <w:rsid w:val="00E953B0"/>
    <w:rsid w:val="00EA07F3"/>
    <w:rsid w:val="00EA3F2C"/>
    <w:rsid w:val="00EA4AC8"/>
    <w:rsid w:val="00EA4BC4"/>
    <w:rsid w:val="00EA6A14"/>
    <w:rsid w:val="00EA76E2"/>
    <w:rsid w:val="00EB2F0C"/>
    <w:rsid w:val="00EB337B"/>
    <w:rsid w:val="00EB5B82"/>
    <w:rsid w:val="00EB644C"/>
    <w:rsid w:val="00EB6FC9"/>
    <w:rsid w:val="00EC1018"/>
    <w:rsid w:val="00EC60F4"/>
    <w:rsid w:val="00EC7627"/>
    <w:rsid w:val="00EC77DA"/>
    <w:rsid w:val="00EC7F8E"/>
    <w:rsid w:val="00ED1670"/>
    <w:rsid w:val="00ED2E5E"/>
    <w:rsid w:val="00ED62C1"/>
    <w:rsid w:val="00ED6496"/>
    <w:rsid w:val="00ED791B"/>
    <w:rsid w:val="00EE3EBA"/>
    <w:rsid w:val="00EE48BF"/>
    <w:rsid w:val="00EE6BBF"/>
    <w:rsid w:val="00EF1D99"/>
    <w:rsid w:val="00EF4AA4"/>
    <w:rsid w:val="00EF5861"/>
    <w:rsid w:val="00F06431"/>
    <w:rsid w:val="00F077E4"/>
    <w:rsid w:val="00F12A0F"/>
    <w:rsid w:val="00F13181"/>
    <w:rsid w:val="00F14821"/>
    <w:rsid w:val="00F20AA8"/>
    <w:rsid w:val="00F25BE4"/>
    <w:rsid w:val="00F3187E"/>
    <w:rsid w:val="00F336A2"/>
    <w:rsid w:val="00F3375B"/>
    <w:rsid w:val="00F42036"/>
    <w:rsid w:val="00F43BDF"/>
    <w:rsid w:val="00F44299"/>
    <w:rsid w:val="00F478A5"/>
    <w:rsid w:val="00F5518B"/>
    <w:rsid w:val="00F571CC"/>
    <w:rsid w:val="00F63FDC"/>
    <w:rsid w:val="00F65EE2"/>
    <w:rsid w:val="00F7400D"/>
    <w:rsid w:val="00F76628"/>
    <w:rsid w:val="00F77BF2"/>
    <w:rsid w:val="00F811B7"/>
    <w:rsid w:val="00F825A2"/>
    <w:rsid w:val="00F848F7"/>
    <w:rsid w:val="00F9091B"/>
    <w:rsid w:val="00F94CD2"/>
    <w:rsid w:val="00F94FC6"/>
    <w:rsid w:val="00F95766"/>
    <w:rsid w:val="00FA3A49"/>
    <w:rsid w:val="00FA3A83"/>
    <w:rsid w:val="00FB544A"/>
    <w:rsid w:val="00FB5662"/>
    <w:rsid w:val="00FB7B39"/>
    <w:rsid w:val="00FC07E6"/>
    <w:rsid w:val="00FD7B94"/>
    <w:rsid w:val="00FE395D"/>
    <w:rsid w:val="00FE3AC0"/>
    <w:rsid w:val="00FE4547"/>
    <w:rsid w:val="00FF21C2"/>
    <w:rsid w:val="00FF5903"/>
    <w:rsid w:val="00FF638B"/>
    <w:rsid w:val="164232BD"/>
    <w:rsid w:val="308E426C"/>
    <w:rsid w:val="33202FF1"/>
    <w:rsid w:val="3547008D"/>
    <w:rsid w:val="381F7624"/>
    <w:rsid w:val="5C7727E9"/>
    <w:rsid w:val="61960834"/>
    <w:rsid w:val="73A23CF3"/>
    <w:rsid w:val="74014D3F"/>
    <w:rsid w:val="79805345"/>
  </w:rsids>
  <m:mathPr>
    <m:lMargin m:val="0"/>
    <m:mathFont m:val="Cambria Math"/>
    <m:rMargin m:val="0"/>
    <m:wrapIndent m:val="1440"/>
    <m:brkBin m:val="before"/>
    <m:brkBinSub m:val="--"/>
    <m:defJc m:val="centerGroup"/>
    <m:intLim m:val="subSup"/>
    <m:naryLim m:val="undOvr"/>
    <m:smallFrac m:val=""/>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5"/>
    <w:qFormat/>
    <w:uiPriority w:val="99"/>
    <w:pPr>
      <w:keepNext/>
      <w:keepLines/>
      <w:spacing w:before="260" w:after="260" w:line="416" w:lineRule="auto"/>
      <w:outlineLvl w:val="2"/>
    </w:pPr>
    <w:rPr>
      <w:b/>
      <w:bCs/>
      <w:sz w:val="32"/>
      <w:szCs w:val="32"/>
    </w:rPr>
  </w:style>
  <w:style w:type="paragraph" w:styleId="5">
    <w:name w:val="heading 4"/>
    <w:basedOn w:val="1"/>
    <w:next w:val="1"/>
    <w:link w:val="16"/>
    <w:qFormat/>
    <w:uiPriority w:val="99"/>
    <w:pPr>
      <w:keepNext/>
      <w:keepLines/>
      <w:spacing w:before="280" w:after="290" w:line="376" w:lineRule="auto"/>
      <w:outlineLvl w:val="3"/>
    </w:pPr>
    <w:rPr>
      <w:rFonts w:ascii="Cambria" w:hAnsi="Cambria"/>
      <w:b/>
      <w:bCs/>
      <w:sz w:val="28"/>
      <w:szCs w:val="28"/>
    </w:rPr>
  </w:style>
  <w:style w:type="character" w:default="1" w:styleId="10">
    <w:name w:val="Default Paragraph Font"/>
    <w:unhideWhenUsed/>
    <w:uiPriority w:val="1"/>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6">
    <w:name w:val="Date"/>
    <w:basedOn w:val="1"/>
    <w:next w:val="1"/>
    <w:link w:val="17"/>
    <w:semiHidden/>
    <w:qFormat/>
    <w:uiPriority w:val="99"/>
    <w:pPr>
      <w:ind w:left="100" w:leftChars="2500"/>
    </w:pPr>
  </w:style>
  <w:style w:type="paragraph" w:styleId="7">
    <w:name w:val="footer"/>
    <w:basedOn w:val="1"/>
    <w:link w:val="18"/>
    <w:qFormat/>
    <w:uiPriority w:val="99"/>
    <w:pPr>
      <w:tabs>
        <w:tab w:val="center" w:pos="4153"/>
        <w:tab w:val="right" w:pos="8306"/>
      </w:tabs>
      <w:snapToGrid w:val="0"/>
      <w:jc w:val="left"/>
    </w:pPr>
    <w:rPr>
      <w:sz w:val="18"/>
      <w:szCs w:val="18"/>
    </w:rPr>
  </w:style>
  <w:style w:type="paragraph" w:styleId="8">
    <w:name w:val="header"/>
    <w:basedOn w:val="1"/>
    <w:link w:val="19"/>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kern w:val="0"/>
      <w:sz w:val="24"/>
      <w:szCs w:val="24"/>
    </w:rPr>
  </w:style>
  <w:style w:type="table" w:styleId="12">
    <w:name w:val="Table Grid"/>
    <w:basedOn w:val="11"/>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13">
    <w:name w:val="标题 1 字符"/>
    <w:link w:val="2"/>
    <w:locked/>
    <w:uiPriority w:val="99"/>
    <w:rPr>
      <w:rFonts w:cs="Times New Roman"/>
      <w:b/>
      <w:bCs/>
      <w:kern w:val="44"/>
      <w:sz w:val="44"/>
      <w:szCs w:val="44"/>
    </w:rPr>
  </w:style>
  <w:style w:type="character" w:customStyle="1" w:styleId="14">
    <w:name w:val="标题 2 字符"/>
    <w:link w:val="3"/>
    <w:qFormat/>
    <w:locked/>
    <w:uiPriority w:val="99"/>
    <w:rPr>
      <w:rFonts w:ascii="Cambria" w:hAnsi="Cambria" w:eastAsia="宋体" w:cs="Times New Roman"/>
      <w:b/>
      <w:bCs/>
      <w:sz w:val="32"/>
      <w:szCs w:val="32"/>
    </w:rPr>
  </w:style>
  <w:style w:type="character" w:customStyle="1" w:styleId="15">
    <w:name w:val="标题 3 字符"/>
    <w:link w:val="4"/>
    <w:qFormat/>
    <w:locked/>
    <w:uiPriority w:val="99"/>
    <w:rPr>
      <w:rFonts w:cs="Times New Roman"/>
      <w:b/>
      <w:bCs/>
      <w:sz w:val="32"/>
      <w:szCs w:val="32"/>
    </w:rPr>
  </w:style>
  <w:style w:type="character" w:customStyle="1" w:styleId="16">
    <w:name w:val="标题 4 字符"/>
    <w:link w:val="5"/>
    <w:qFormat/>
    <w:locked/>
    <w:uiPriority w:val="99"/>
    <w:rPr>
      <w:rFonts w:ascii="Cambria" w:hAnsi="Cambria" w:eastAsia="宋体" w:cs="Times New Roman"/>
      <w:b/>
      <w:bCs/>
      <w:sz w:val="28"/>
      <w:szCs w:val="28"/>
    </w:rPr>
  </w:style>
  <w:style w:type="character" w:customStyle="1" w:styleId="17">
    <w:name w:val="日期 字符"/>
    <w:link w:val="6"/>
    <w:semiHidden/>
    <w:locked/>
    <w:uiPriority w:val="99"/>
    <w:rPr>
      <w:rFonts w:cs="Times New Roman"/>
    </w:rPr>
  </w:style>
  <w:style w:type="character" w:customStyle="1" w:styleId="18">
    <w:name w:val="页脚 字符"/>
    <w:link w:val="7"/>
    <w:qFormat/>
    <w:locked/>
    <w:uiPriority w:val="99"/>
    <w:rPr>
      <w:rFonts w:cs="Times New Roman"/>
      <w:sz w:val="18"/>
      <w:szCs w:val="18"/>
    </w:rPr>
  </w:style>
  <w:style w:type="character" w:customStyle="1" w:styleId="19">
    <w:name w:val="页眉 字符"/>
    <w:link w:val="8"/>
    <w:semiHidden/>
    <w:qFormat/>
    <w:locked/>
    <w:uiPriority w:val="99"/>
    <w:rPr>
      <w:rFonts w:cs="Times New Roman"/>
      <w:sz w:val="18"/>
      <w:szCs w:val="18"/>
    </w:rPr>
  </w:style>
  <w:style w:type="paragraph" w:customStyle="1" w:styleId="20">
    <w:name w:val="List Paragraph"/>
    <w:basedOn w:val="1"/>
    <w:qFormat/>
    <w:uiPriority w:val="99"/>
    <w:pPr>
      <w:ind w:firstLine="420" w:firstLineChars="200"/>
    </w:pPr>
  </w:style>
  <w:style w:type="character" w:customStyle="1" w:styleId="21">
    <w:name w:val="font41"/>
    <w:basedOn w:val="10"/>
    <w:uiPriority w:val="0"/>
    <w:rPr>
      <w:rFonts w:ascii="Calibri" w:hAnsi="Calibri" w:cs="Calibri"/>
      <w:color w:val="000000"/>
      <w:sz w:val="21"/>
      <w:szCs w:val="21"/>
      <w:u w:val="none"/>
    </w:rPr>
  </w:style>
  <w:style w:type="character" w:customStyle="1" w:styleId="22">
    <w:name w:val="font3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285</Words>
  <Characters>1628</Characters>
  <Lines>13</Lines>
  <Paragraphs>3</Paragraphs>
  <TotalTime>0</TotalTime>
  <ScaleCrop>false</ScaleCrop>
  <LinksUpToDate>false</LinksUpToDate>
  <CharactersWithSpaces>1910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2023-12-14T01:47:00Z</dcterms:created>
  <dc:creator>xz1</dc:creator>
  <cp:lastModifiedBy>Administrator</cp:lastModifiedBy>
  <cp:lastPrinted>2023-12-14T10:29:00Z</cp:lastPrinted>
  <dcterms:modified xsi:type="dcterms:W3CDTF">2024-08-14T06:46:05Z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2C75BE3C294C4FBD99F1D1892FDCF162</vt:lpwstr>
  </property>
</Properties>
</file>