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C04DB">
      <w:pPr>
        <w:widowControl/>
        <w:jc w:val="center"/>
        <w:rPr>
          <w:b/>
          <w:sz w:val="32"/>
          <w:szCs w:val="32"/>
        </w:rPr>
      </w:pPr>
      <w:r>
        <w:rPr>
          <w:rFonts w:hint="eastAsia"/>
          <w:b/>
          <w:sz w:val="32"/>
          <w:szCs w:val="32"/>
        </w:rPr>
        <w:t>项目采购需求</w:t>
      </w:r>
    </w:p>
    <w:p w14:paraId="08D0D206">
      <w:pPr>
        <w:widowControl/>
        <w:jc w:val="left"/>
        <w:rPr>
          <w:sz w:val="24"/>
        </w:rPr>
      </w:pPr>
      <w:r>
        <w:rPr>
          <w:rFonts w:hint="eastAsia"/>
          <w:b/>
          <w:sz w:val="24"/>
        </w:rPr>
        <w:t>一、项目基本情况</w:t>
      </w:r>
    </w:p>
    <w:p w14:paraId="6AA39C6A">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sz w:val="24"/>
          <w:szCs w:val="24"/>
        </w:rPr>
        <w:t>中山市中医院信息化设备</w:t>
      </w:r>
      <w:r>
        <w:rPr>
          <w:sz w:val="24"/>
          <w:szCs w:val="24"/>
        </w:rPr>
        <w:t>采购</w:t>
      </w:r>
      <w:r>
        <w:rPr>
          <w:rFonts w:hint="eastAsia"/>
          <w:sz w:val="24"/>
          <w:szCs w:val="24"/>
        </w:rPr>
        <w:t>项目</w:t>
      </w:r>
    </w:p>
    <w:p w14:paraId="3A474210">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宋体" w:hAnsi="宋体" w:cs="宋体"/>
          <w:sz w:val="24"/>
          <w:szCs w:val="24"/>
        </w:rPr>
        <w:t>为满足业务发展及正常运行需要</w:t>
      </w:r>
      <w:r>
        <w:rPr>
          <w:rFonts w:hint="eastAsia"/>
          <w:sz w:val="24"/>
          <w:szCs w:val="24"/>
        </w:rPr>
        <w:t>，医院拟采购一批</w:t>
      </w:r>
      <w:r>
        <w:rPr>
          <w:rFonts w:hint="eastAsia" w:ascii="宋体" w:hAnsi="宋体" w:cs="宋体"/>
          <w:sz w:val="24"/>
          <w:szCs w:val="24"/>
        </w:rPr>
        <w:t>信息化设备</w:t>
      </w:r>
      <w:r>
        <w:rPr>
          <w:rFonts w:hint="eastAsia"/>
          <w:sz w:val="24"/>
          <w:szCs w:val="24"/>
        </w:rPr>
        <w:t>，</w:t>
      </w:r>
      <w:r>
        <w:rPr>
          <w:rFonts w:hint="eastAsia" w:ascii="宋体" w:hAnsi="宋体" w:cs="宋体"/>
          <w:sz w:val="24"/>
          <w:szCs w:val="24"/>
        </w:rPr>
        <w:t>以提升医院信息系统的整体性能、空间容量和网络安全性</w:t>
      </w:r>
      <w:r>
        <w:rPr>
          <w:rFonts w:hint="eastAsia"/>
          <w:sz w:val="24"/>
          <w:szCs w:val="24"/>
        </w:rPr>
        <w:t>。</w:t>
      </w:r>
    </w:p>
    <w:p w14:paraId="0E0A2009">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1</w:t>
      </w:r>
      <w:r>
        <w:rPr>
          <w:rFonts w:hint="eastAsia" w:asciiTheme="minorEastAsia" w:hAnsiTheme="minorEastAsia" w:eastAsiaTheme="minorEastAsia"/>
        </w:rPr>
        <w:t>62</w:t>
      </w:r>
      <w:r>
        <w:rPr>
          <w:rFonts w:asciiTheme="minorEastAsia" w:hAnsiTheme="minorEastAsia" w:eastAsiaTheme="minorEastAsia"/>
        </w:rPr>
        <w:t>0000</w:t>
      </w:r>
      <w:r>
        <w:rPr>
          <w:rFonts w:hint="eastAsia" w:asciiTheme="minorEastAsia" w:hAnsiTheme="minorEastAsia" w:eastAsiaTheme="minorEastAsia"/>
        </w:rPr>
        <w:t>元，超过采购上限价的属于无效响应。</w:t>
      </w:r>
    </w:p>
    <w:p w14:paraId="0D33B375">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14:paraId="6F40E816">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14:paraId="550205C2">
      <w:pPr>
        <w:spacing w:line="360" w:lineRule="auto"/>
        <w:rPr>
          <w:b/>
          <w:sz w:val="24"/>
        </w:rPr>
      </w:pPr>
      <w:r>
        <w:rPr>
          <w:rFonts w:hint="eastAsia"/>
          <w:b/>
          <w:sz w:val="24"/>
        </w:rPr>
        <w:t>二、采购</w:t>
      </w:r>
      <w:r>
        <w:rPr>
          <w:b/>
          <w:sz w:val="24"/>
        </w:rPr>
        <w:t>清单</w:t>
      </w:r>
    </w:p>
    <w:tbl>
      <w:tblPr>
        <w:tblStyle w:val="10"/>
        <w:tblW w:w="4463" w:type="pct"/>
        <w:jc w:val="center"/>
        <w:tblLayout w:type="autofit"/>
        <w:tblCellMar>
          <w:top w:w="0" w:type="dxa"/>
          <w:left w:w="108" w:type="dxa"/>
          <w:bottom w:w="0" w:type="dxa"/>
          <w:right w:w="108" w:type="dxa"/>
        </w:tblCellMar>
      </w:tblPr>
      <w:tblGrid>
        <w:gridCol w:w="884"/>
        <w:gridCol w:w="3499"/>
        <w:gridCol w:w="1125"/>
        <w:gridCol w:w="2099"/>
      </w:tblGrid>
      <w:tr w14:paraId="1ADAAD01">
        <w:tblPrEx>
          <w:tblCellMar>
            <w:top w:w="0" w:type="dxa"/>
            <w:left w:w="108" w:type="dxa"/>
            <w:bottom w:w="0" w:type="dxa"/>
            <w:right w:w="108" w:type="dxa"/>
          </w:tblCellMar>
        </w:tblPrEx>
        <w:trPr>
          <w:trHeight w:val="517" w:hRule="atLeast"/>
          <w:jc w:val="center"/>
        </w:trPr>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07249">
            <w:pPr>
              <w:jc w:val="center"/>
            </w:pPr>
            <w:r>
              <w:rPr>
                <w:rFonts w:hint="eastAsia"/>
              </w:rPr>
              <w:t>序号</w:t>
            </w:r>
          </w:p>
        </w:tc>
        <w:tc>
          <w:tcPr>
            <w:tcW w:w="2299" w:type="pct"/>
            <w:tcBorders>
              <w:top w:val="single" w:color="auto" w:sz="4" w:space="0"/>
              <w:left w:val="nil"/>
              <w:bottom w:val="single" w:color="auto" w:sz="4" w:space="0"/>
              <w:right w:val="single" w:color="auto" w:sz="4" w:space="0"/>
            </w:tcBorders>
            <w:shd w:val="clear" w:color="auto" w:fill="auto"/>
            <w:noWrap/>
            <w:vAlign w:val="center"/>
          </w:tcPr>
          <w:p w14:paraId="4C63C21A">
            <w:pPr>
              <w:jc w:val="center"/>
            </w:pPr>
            <w:r>
              <w:rPr>
                <w:rFonts w:hint="eastAsia"/>
              </w:rPr>
              <w:t>名称</w:t>
            </w:r>
          </w:p>
        </w:tc>
        <w:tc>
          <w:tcPr>
            <w:tcW w:w="739" w:type="pct"/>
            <w:tcBorders>
              <w:top w:val="single" w:color="auto" w:sz="4" w:space="0"/>
              <w:left w:val="nil"/>
              <w:bottom w:val="single" w:color="auto" w:sz="4" w:space="0"/>
              <w:right w:val="single" w:color="auto" w:sz="4" w:space="0"/>
            </w:tcBorders>
            <w:shd w:val="clear" w:color="auto" w:fill="auto"/>
            <w:noWrap/>
            <w:vAlign w:val="center"/>
          </w:tcPr>
          <w:p w14:paraId="0D4BA8E8">
            <w:pPr>
              <w:jc w:val="center"/>
            </w:pPr>
            <w:r>
              <w:rPr>
                <w:rFonts w:hint="eastAsia"/>
              </w:rPr>
              <w:t>数量</w:t>
            </w:r>
          </w:p>
        </w:tc>
        <w:tc>
          <w:tcPr>
            <w:tcW w:w="1379" w:type="pct"/>
            <w:tcBorders>
              <w:top w:val="single" w:color="auto" w:sz="4" w:space="0"/>
              <w:left w:val="nil"/>
              <w:bottom w:val="single" w:color="auto" w:sz="4" w:space="0"/>
              <w:right w:val="single" w:color="auto" w:sz="4" w:space="0"/>
            </w:tcBorders>
            <w:shd w:val="clear" w:color="auto" w:fill="auto"/>
            <w:noWrap/>
            <w:vAlign w:val="center"/>
          </w:tcPr>
          <w:p w14:paraId="3267F7B5">
            <w:pPr>
              <w:jc w:val="center"/>
              <w:rPr>
                <w:rFonts w:hint="eastAsia" w:eastAsia="宋体"/>
                <w:highlight w:val="yellow"/>
                <w:lang w:val="en-US" w:eastAsia="zh-CN"/>
              </w:rPr>
            </w:pPr>
            <w:r>
              <w:rPr>
                <w:rFonts w:hint="eastAsia"/>
                <w:highlight w:val="yellow"/>
                <w:lang w:val="en-US" w:eastAsia="zh-CN"/>
              </w:rPr>
              <w:t>预算金额（元）</w:t>
            </w:r>
          </w:p>
        </w:tc>
      </w:tr>
      <w:tr w14:paraId="3C6EBCC5">
        <w:tblPrEx>
          <w:tblCellMar>
            <w:top w:w="0" w:type="dxa"/>
            <w:left w:w="108" w:type="dxa"/>
            <w:bottom w:w="0" w:type="dxa"/>
            <w:right w:w="108" w:type="dxa"/>
          </w:tblCellMar>
        </w:tblPrEx>
        <w:trPr>
          <w:trHeight w:val="588" w:hRule="atLeast"/>
          <w:jc w:val="center"/>
        </w:trPr>
        <w:tc>
          <w:tcPr>
            <w:tcW w:w="581" w:type="pct"/>
            <w:tcBorders>
              <w:top w:val="nil"/>
              <w:left w:val="single" w:color="auto" w:sz="4" w:space="0"/>
              <w:bottom w:val="single" w:color="auto" w:sz="4" w:space="0"/>
              <w:right w:val="single" w:color="auto" w:sz="4" w:space="0"/>
            </w:tcBorders>
            <w:shd w:val="clear" w:color="auto" w:fill="auto"/>
            <w:noWrap/>
            <w:vAlign w:val="center"/>
          </w:tcPr>
          <w:p w14:paraId="3F975E33">
            <w:pPr>
              <w:jc w:val="center"/>
            </w:pPr>
            <w:r>
              <w:rPr>
                <w:rFonts w:hint="eastAsia"/>
              </w:rPr>
              <w:t>1</w:t>
            </w:r>
          </w:p>
        </w:tc>
        <w:tc>
          <w:tcPr>
            <w:tcW w:w="2299" w:type="pct"/>
            <w:tcBorders>
              <w:top w:val="nil"/>
              <w:left w:val="nil"/>
              <w:bottom w:val="single" w:color="auto" w:sz="4" w:space="0"/>
              <w:right w:val="single" w:color="auto" w:sz="4" w:space="0"/>
            </w:tcBorders>
            <w:shd w:val="clear" w:color="auto" w:fill="auto"/>
            <w:noWrap/>
            <w:vAlign w:val="center"/>
          </w:tcPr>
          <w:p w14:paraId="4707D212">
            <w:pPr>
              <w:jc w:val="center"/>
            </w:pPr>
            <w:r>
              <w:rPr>
                <w:rFonts w:hint="eastAsia"/>
              </w:rPr>
              <w:t>存储设备（</w:t>
            </w:r>
            <w:r>
              <w:rPr>
                <w:rFonts w:hint="eastAsia" w:asciiTheme="minorEastAsia" w:hAnsiTheme="minorEastAsia" w:eastAsiaTheme="minorEastAsia"/>
              </w:rPr>
              <w:t>全闪存储柜</w:t>
            </w:r>
            <w:r>
              <w:rPr>
                <w:rFonts w:hint="eastAsia"/>
              </w:rPr>
              <w:t>）</w:t>
            </w:r>
          </w:p>
        </w:tc>
        <w:tc>
          <w:tcPr>
            <w:tcW w:w="739" w:type="pct"/>
            <w:tcBorders>
              <w:top w:val="nil"/>
              <w:left w:val="nil"/>
              <w:bottom w:val="single" w:color="auto" w:sz="4" w:space="0"/>
              <w:right w:val="single" w:color="auto" w:sz="4" w:space="0"/>
            </w:tcBorders>
            <w:shd w:val="clear" w:color="auto" w:fill="auto"/>
            <w:vAlign w:val="center"/>
          </w:tcPr>
          <w:p w14:paraId="34CE0250">
            <w:pPr>
              <w:jc w:val="center"/>
            </w:pPr>
            <w:r>
              <w:t>1</w:t>
            </w:r>
          </w:p>
        </w:tc>
        <w:tc>
          <w:tcPr>
            <w:tcW w:w="1379" w:type="pct"/>
            <w:tcBorders>
              <w:top w:val="nil"/>
              <w:left w:val="nil"/>
              <w:bottom w:val="single" w:color="auto" w:sz="4" w:space="0"/>
              <w:right w:val="single" w:color="auto" w:sz="4" w:space="0"/>
            </w:tcBorders>
            <w:shd w:val="clear" w:color="auto" w:fill="auto"/>
            <w:vAlign w:val="center"/>
          </w:tcPr>
          <w:p w14:paraId="39DB148B">
            <w:pPr>
              <w:jc w:val="center"/>
              <w:rPr>
                <w:rFonts w:hint="default" w:eastAsia="宋体"/>
                <w:highlight w:val="yellow"/>
                <w:lang w:val="en-US" w:eastAsia="zh-CN"/>
              </w:rPr>
            </w:pPr>
            <w:r>
              <w:rPr>
                <w:rFonts w:hint="eastAsia" w:asciiTheme="minorEastAsia" w:hAnsiTheme="minorEastAsia" w:eastAsiaTheme="minorEastAsia"/>
                <w:highlight w:val="yellow"/>
              </w:rPr>
              <w:t>￥</w:t>
            </w:r>
            <w:r>
              <w:rPr>
                <w:rFonts w:asciiTheme="minorEastAsia" w:hAnsiTheme="minorEastAsia" w:eastAsiaTheme="minorEastAsia"/>
                <w:highlight w:val="yellow"/>
              </w:rPr>
              <w:t>1</w:t>
            </w:r>
            <w:r>
              <w:rPr>
                <w:rFonts w:hint="eastAsia" w:asciiTheme="minorEastAsia" w:hAnsiTheme="minorEastAsia" w:eastAsiaTheme="minorEastAsia"/>
                <w:highlight w:val="yellow"/>
                <w:lang w:val="en-US" w:eastAsia="zh-CN"/>
              </w:rPr>
              <w:t>50</w:t>
            </w:r>
            <w:r>
              <w:rPr>
                <w:rFonts w:asciiTheme="minorEastAsia" w:hAnsiTheme="minorEastAsia" w:eastAsiaTheme="minorEastAsia"/>
                <w:highlight w:val="yellow"/>
              </w:rPr>
              <w:t>0000</w:t>
            </w:r>
          </w:p>
        </w:tc>
      </w:tr>
      <w:tr w14:paraId="364AC46F">
        <w:tblPrEx>
          <w:tblCellMar>
            <w:top w:w="0" w:type="dxa"/>
            <w:left w:w="108" w:type="dxa"/>
            <w:bottom w:w="0" w:type="dxa"/>
            <w:right w:w="108" w:type="dxa"/>
          </w:tblCellMar>
        </w:tblPrEx>
        <w:trPr>
          <w:trHeight w:val="554" w:hRule="atLeast"/>
          <w:jc w:val="center"/>
        </w:trPr>
        <w:tc>
          <w:tcPr>
            <w:tcW w:w="581" w:type="pct"/>
            <w:tcBorders>
              <w:top w:val="nil"/>
              <w:left w:val="single" w:color="auto" w:sz="4" w:space="0"/>
              <w:bottom w:val="single" w:color="auto" w:sz="4" w:space="0"/>
              <w:right w:val="single" w:color="auto" w:sz="4" w:space="0"/>
            </w:tcBorders>
            <w:shd w:val="clear" w:color="auto" w:fill="auto"/>
            <w:noWrap/>
            <w:vAlign w:val="center"/>
          </w:tcPr>
          <w:p w14:paraId="1D8DF7F0">
            <w:pPr>
              <w:jc w:val="center"/>
            </w:pPr>
            <w:r>
              <w:rPr>
                <w:rFonts w:hint="eastAsia"/>
              </w:rPr>
              <w:t>2</w:t>
            </w:r>
          </w:p>
        </w:tc>
        <w:tc>
          <w:tcPr>
            <w:tcW w:w="2299" w:type="pct"/>
            <w:tcBorders>
              <w:top w:val="nil"/>
              <w:left w:val="nil"/>
              <w:bottom w:val="single" w:color="auto" w:sz="4" w:space="0"/>
              <w:right w:val="single" w:color="auto" w:sz="4" w:space="0"/>
            </w:tcBorders>
            <w:shd w:val="clear" w:color="auto" w:fill="auto"/>
            <w:noWrap/>
            <w:vAlign w:val="center"/>
          </w:tcPr>
          <w:p w14:paraId="737F8415">
            <w:pPr>
              <w:jc w:val="center"/>
              <w:rPr>
                <w:rFonts w:hint="eastAsia"/>
              </w:rPr>
            </w:pPr>
            <w:r>
              <w:rPr>
                <w:rFonts w:hint="eastAsia"/>
              </w:rPr>
              <w:t>堡垒机</w:t>
            </w:r>
          </w:p>
        </w:tc>
        <w:tc>
          <w:tcPr>
            <w:tcW w:w="739" w:type="pct"/>
            <w:tcBorders>
              <w:top w:val="nil"/>
              <w:left w:val="nil"/>
              <w:bottom w:val="single" w:color="auto" w:sz="4" w:space="0"/>
              <w:right w:val="single" w:color="auto" w:sz="4" w:space="0"/>
            </w:tcBorders>
            <w:shd w:val="clear" w:color="auto" w:fill="auto"/>
            <w:vAlign w:val="center"/>
          </w:tcPr>
          <w:p w14:paraId="31FCAB12">
            <w:pPr>
              <w:jc w:val="center"/>
            </w:pPr>
            <w:r>
              <w:t>1</w:t>
            </w:r>
          </w:p>
        </w:tc>
        <w:tc>
          <w:tcPr>
            <w:tcW w:w="1379" w:type="pct"/>
            <w:tcBorders>
              <w:top w:val="nil"/>
              <w:left w:val="nil"/>
              <w:bottom w:val="single" w:color="auto" w:sz="4" w:space="0"/>
              <w:right w:val="single" w:color="auto" w:sz="4" w:space="0"/>
            </w:tcBorders>
            <w:shd w:val="clear" w:color="auto" w:fill="auto"/>
            <w:vAlign w:val="center"/>
          </w:tcPr>
          <w:p w14:paraId="321D9753">
            <w:pPr>
              <w:jc w:val="center"/>
              <w:rPr>
                <w:rFonts w:hint="default" w:eastAsia="宋体"/>
                <w:highlight w:val="yellow"/>
                <w:lang w:val="en-US" w:eastAsia="zh-CN"/>
              </w:rPr>
            </w:pPr>
            <w:r>
              <w:rPr>
                <w:rFonts w:hint="eastAsia" w:asciiTheme="minorEastAsia" w:hAnsiTheme="minorEastAsia" w:eastAsiaTheme="minorEastAsia"/>
                <w:highlight w:val="yellow"/>
              </w:rPr>
              <w:t>￥</w:t>
            </w:r>
            <w:r>
              <w:rPr>
                <w:rFonts w:asciiTheme="minorEastAsia" w:hAnsiTheme="minorEastAsia" w:eastAsiaTheme="minorEastAsia"/>
                <w:highlight w:val="yellow"/>
              </w:rPr>
              <w:t>1</w:t>
            </w:r>
            <w:r>
              <w:rPr>
                <w:rFonts w:hint="eastAsia" w:asciiTheme="minorEastAsia" w:hAnsiTheme="minorEastAsia" w:eastAsiaTheme="minorEastAsia"/>
                <w:highlight w:val="yellow"/>
                <w:lang w:val="en-US" w:eastAsia="zh-CN"/>
              </w:rPr>
              <w:t>20</w:t>
            </w:r>
            <w:r>
              <w:rPr>
                <w:rFonts w:asciiTheme="minorEastAsia" w:hAnsiTheme="minorEastAsia" w:eastAsiaTheme="minorEastAsia"/>
                <w:highlight w:val="yellow"/>
              </w:rPr>
              <w:t>000</w:t>
            </w:r>
          </w:p>
        </w:tc>
      </w:tr>
    </w:tbl>
    <w:p w14:paraId="7765FE66">
      <w:pPr>
        <w:spacing w:line="360" w:lineRule="auto"/>
        <w:rPr>
          <w:b/>
          <w:sz w:val="24"/>
        </w:rPr>
      </w:pPr>
    </w:p>
    <w:p w14:paraId="2088DBD0">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14:paraId="5B66631D">
      <w:pPr>
        <w:spacing w:line="360" w:lineRule="auto"/>
        <w:rPr>
          <w:rFonts w:hint="eastAsia" w:asciiTheme="minorEastAsia" w:hAnsiTheme="minorEastAsia" w:eastAsiaTheme="minorEastAsia"/>
        </w:rPr>
      </w:pPr>
      <w:r>
        <w:rPr>
          <w:rFonts w:hint="eastAsia" w:asciiTheme="minorEastAsia" w:hAnsiTheme="minorEastAsia" w:eastAsiaTheme="minorEastAsia"/>
          <w:b/>
          <w:bCs/>
        </w:rPr>
        <w:t>1、全闪存储柜</w:t>
      </w:r>
    </w:p>
    <w:p w14:paraId="01F5495F">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机头双控制器结构。控制器采用Active-Active多控制器架构。LUN无归属控制器，业务运行过程中，单个LUN业务支持负载均衡到多个控制器；</w:t>
      </w:r>
    </w:p>
    <w:p w14:paraId="3A0C8253">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 xml:space="preserve">.2 </w:t>
      </w:r>
      <w:r>
        <w:rPr>
          <w:rFonts w:hint="eastAsia" w:asciiTheme="minorEastAsia" w:hAnsiTheme="minorEastAsia" w:eastAsiaTheme="minorEastAsia"/>
        </w:rPr>
        <w:t>双控配置：</w:t>
      </w:r>
      <w:r>
        <w:rPr>
          <w:rFonts w:hint="eastAsia"/>
        </w:rPr>
        <w:t>每控</w:t>
      </w:r>
      <w:r>
        <w:rPr>
          <w:rFonts w:hint="eastAsia" w:asciiTheme="minorEastAsia" w:hAnsiTheme="minorEastAsia" w:eastAsiaTheme="minorEastAsia"/>
        </w:rPr>
        <w:t>CPU总物理核数不低于64核；</w:t>
      </w:r>
    </w:p>
    <w:p w14:paraId="0CF08891">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w:t>
      </w:r>
      <w:r>
        <w:rPr>
          <w:rFonts w:hint="eastAsia" w:asciiTheme="minorEastAsia" w:hAnsiTheme="minorEastAsia" w:eastAsiaTheme="minorEastAsia"/>
        </w:rPr>
        <w:t xml:space="preserve"> RAM缓存不低于512GB（缓存不包含SSD磁盘、PCI-E SSD、闪存、压缩或重删缓存和NAS控制器缓存）。机头支持横向扩展到8控；提供官网证明材料或截图；</w:t>
      </w:r>
    </w:p>
    <w:p w14:paraId="02B3E810">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.4</w:t>
      </w:r>
      <w:r>
        <w:rPr>
          <w:rFonts w:hint="eastAsia" w:asciiTheme="minorEastAsia" w:hAnsiTheme="minorEastAsia" w:eastAsiaTheme="minorEastAsia"/>
        </w:rPr>
        <w:t>激活SAN(FC和iSCSI)以及NAS[SMB/NFS(v3/v4/)/FTP]全容量存储服务协议功能，激活NAS功能无需额外增加组件；</w:t>
      </w:r>
    </w:p>
    <w:p w14:paraId="4ADA68EE">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支持NVMe SCM，NVMe SSD以及SAS SSD等存储介质作为可读可写的存储空间，所配置型号不能支持传统机械式磁盘作为数据存储介质。本项目配置接口要求为NVME接口；</w:t>
      </w:r>
    </w:p>
    <w:p w14:paraId="37F8585E">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.6</w:t>
      </w:r>
      <w:r>
        <w:rPr>
          <w:rFonts w:hint="eastAsia" w:asciiTheme="minorEastAsia" w:hAnsiTheme="minorEastAsia" w:eastAsiaTheme="minorEastAsia"/>
        </w:rPr>
        <w:t>前端主机接口支持32G/16Gb FC、10/25Gb Ethernet。本项目配4个可热插拔FC HBA 板卡，含8个32Gbps 光模块；4个25G/10G ETH&amp;iSCSI卡含8个10Gb 端口（含光模块）；</w:t>
      </w:r>
    </w:p>
    <w:p w14:paraId="4D62D9D3">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.7</w:t>
      </w:r>
      <w:r>
        <w:rPr>
          <w:rFonts w:hint="eastAsia" w:asciiTheme="minorEastAsia" w:hAnsiTheme="minorEastAsia" w:eastAsiaTheme="minorEastAsia"/>
        </w:rPr>
        <w:t>容量配置：25×7.68TB NVME SSD。或者按裸容量不少于192TB；</w:t>
      </w:r>
    </w:p>
    <w:p w14:paraId="644B5F06">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.8</w:t>
      </w:r>
      <w:r>
        <w:rPr>
          <w:rFonts w:hint="eastAsia" w:asciiTheme="minorEastAsia" w:hAnsiTheme="minorEastAsia" w:eastAsiaTheme="minorEastAsia"/>
        </w:rPr>
        <w:t>所有磁盘可同时配置为RAID0/1/5/6/10/50/60，支持传统RAID和分布式RAID技术（两种热备技术）；</w:t>
      </w:r>
    </w:p>
    <w:p w14:paraId="3A894E2F">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.9</w:t>
      </w:r>
      <w:r>
        <w:rPr>
          <w:rFonts w:hint="eastAsia" w:asciiTheme="minorEastAsia" w:hAnsiTheme="minorEastAsia" w:eastAsiaTheme="minorEastAsia"/>
        </w:rPr>
        <w:t>提供RAID5、RAID6和容忍三盘失效（最大容忍3盘同时失效是指三盘校验功能,即在单一RAID组里任意同时故障三块成员盘（不包括热备盘），数据不丢失且业务不中断，且RAID组不为RAID1和RAID10。），并提供具备第三方权威评测机构签字盖章的测试报告，加盖存储厂商有效公章。；</w:t>
      </w:r>
    </w:p>
    <w:p w14:paraId="40893538">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.10</w:t>
      </w:r>
      <w:r>
        <w:rPr>
          <w:rFonts w:hint="eastAsia" w:asciiTheme="minorEastAsia" w:hAnsiTheme="minorEastAsia" w:eastAsiaTheme="minorEastAsia"/>
        </w:rPr>
        <w:t>配置全容量软件许可，激活精简配置、快照功能、克隆、远程复制软件、LUN迁移、QOS、存储双活、重删压缩软件许可；</w:t>
      </w:r>
    </w:p>
    <w:p w14:paraId="6ACB7E82">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.11</w:t>
      </w:r>
      <w:r>
        <w:rPr>
          <w:rFonts w:hint="eastAsia" w:asciiTheme="minorEastAsia" w:hAnsiTheme="minorEastAsia" w:eastAsiaTheme="minorEastAsia"/>
        </w:rPr>
        <w:t>存储双活：无容量、LUN数量及其它任何限制；</w:t>
      </w:r>
    </w:p>
    <w:p w14:paraId="1BC120EA">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.12</w:t>
      </w:r>
      <w:r>
        <w:rPr>
          <w:rFonts w:hint="eastAsia" w:asciiTheme="minorEastAsia" w:hAnsiTheme="minorEastAsia" w:eastAsiaTheme="minorEastAsia"/>
        </w:rPr>
        <w:t>配置重删压缩；</w:t>
      </w:r>
    </w:p>
    <w:p w14:paraId="5B1862D5">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.13</w:t>
      </w:r>
      <w:r>
        <w:rPr>
          <w:rFonts w:hint="eastAsia" w:asciiTheme="minorEastAsia" w:hAnsiTheme="minorEastAsia" w:eastAsiaTheme="minorEastAsia"/>
        </w:rPr>
        <w:t>提供专有多路径（非操作系统自带多路径）软件，提供故障切换和负载均衡功能，支持Windows/Linux/AIX/Solaris/Vmware；提供多路径软件著作权证书；</w:t>
      </w:r>
    </w:p>
    <w:p w14:paraId="51947D90">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.14</w:t>
      </w:r>
      <w:r>
        <w:rPr>
          <w:rFonts w:hint="eastAsia" w:asciiTheme="minorEastAsia" w:hAnsiTheme="minorEastAsia" w:eastAsiaTheme="minorEastAsia"/>
        </w:rPr>
        <w:t>数据迁移：配置存储自带的数据无缝迁移功能，可将本院现有VNX、OceanStor 5310、浪潮HF存储数据无缝迁移至新购存储上，不破坏现有存储之上的数据。本项目需配满系统所配容量的该功能许可；</w:t>
      </w:r>
    </w:p>
    <w:p w14:paraId="48A1E4A3">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.15</w:t>
      </w:r>
      <w:r>
        <w:rPr>
          <w:rFonts w:hint="eastAsia" w:asciiTheme="minorEastAsia" w:hAnsiTheme="minorEastAsia" w:eastAsiaTheme="minorEastAsia"/>
        </w:rPr>
        <w:t>智能精简：配置全容量自动精简许可;</w:t>
      </w:r>
    </w:p>
    <w:p w14:paraId="05CD2D91">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.16</w:t>
      </w:r>
      <w:r>
        <w:rPr>
          <w:rFonts w:hint="eastAsia" w:asciiTheme="minorEastAsia" w:hAnsiTheme="minorEastAsia" w:eastAsiaTheme="minorEastAsia"/>
        </w:rPr>
        <w:t>远程复制功能：至少必须包含同步、异步周期和异步复制三种主流模式，支持IP远程复制过程采用链路虚拟化技术</w:t>
      </w:r>
    </w:p>
    <w:p w14:paraId="2B59B9D1">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.17</w:t>
      </w:r>
      <w:r>
        <w:rPr>
          <w:rFonts w:hint="eastAsia" w:asciiTheme="minorEastAsia" w:hAnsiTheme="minorEastAsia" w:eastAsiaTheme="minorEastAsia"/>
        </w:rPr>
        <w:t>配备机器学习和智能预测软件，可以基于存储的系统健康状态，资源使用情况等作出趋势分析预测以及智能的资源负载均衡告警提醒，帮助业务数据存储卷空间更加智能的均衡分布和运行；</w:t>
      </w:r>
    </w:p>
    <w:p w14:paraId="2C3A4BDD">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.18</w:t>
      </w:r>
      <w:r>
        <w:rPr>
          <w:rFonts w:hint="eastAsia" w:asciiTheme="minorEastAsia" w:hAnsiTheme="minorEastAsia" w:eastAsiaTheme="minorEastAsia"/>
        </w:rPr>
        <w:t>配置异构支持，支持包括且不限于来源于EMC、Oceanstor5310、浪潮HF和AS系列主流存储厂商产品；无异构源LUN限制</w:t>
      </w:r>
    </w:p>
    <w:p w14:paraId="537D14F5">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.19</w:t>
      </w:r>
      <w:r>
        <w:rPr>
          <w:rFonts w:hint="eastAsia" w:asciiTheme="minorEastAsia" w:hAnsiTheme="minorEastAsia" w:eastAsiaTheme="minorEastAsia"/>
        </w:rPr>
        <w:t>支持VAAI、VASA功能；</w:t>
      </w:r>
    </w:p>
    <w:p w14:paraId="0099D346">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.20</w:t>
      </w:r>
      <w:r>
        <w:rPr>
          <w:rFonts w:hint="eastAsia" w:asciiTheme="minorEastAsia" w:hAnsiTheme="minorEastAsia" w:eastAsiaTheme="minorEastAsia"/>
        </w:rPr>
        <w:t>性能要求：8KB随机混合读写不低于30万IOPS；带宽不低于1.5Gbps/s；</w:t>
      </w:r>
    </w:p>
    <w:p w14:paraId="284AD6DC">
      <w:pPr>
        <w:spacing w:line="360" w:lineRule="auto"/>
        <w:rPr>
          <w:rFonts w:hint="eastAsia" w:asciiTheme="minorEastAsia" w:hAnsiTheme="minorEastAsia" w:eastAsiaTheme="minorEastAsia"/>
        </w:rPr>
      </w:pPr>
      <w:r>
        <w:rPr>
          <w:rFonts w:asciiTheme="minorEastAsia" w:hAnsiTheme="minorEastAsia" w:eastAsiaTheme="minorEastAsia"/>
        </w:rPr>
        <w:t>1.21</w:t>
      </w:r>
      <w:r>
        <w:rPr>
          <w:rFonts w:hint="eastAsia" w:asciiTheme="minorEastAsia" w:hAnsiTheme="minorEastAsia" w:eastAsiaTheme="minorEastAsia"/>
        </w:rPr>
        <w:t>以上功能和性能参数请提供官方证明加盖公章，性能参数可采信国际知名第三方评测机构测评结果并提供查阅链接；</w:t>
      </w:r>
    </w:p>
    <w:p w14:paraId="5A2172C3">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.22</w:t>
      </w:r>
      <w:r>
        <w:rPr>
          <w:rFonts w:hint="eastAsia" w:asciiTheme="minorEastAsia" w:hAnsiTheme="minorEastAsia" w:eastAsiaTheme="minorEastAsia"/>
        </w:rPr>
        <w:t>快照功能：支持并配置快照及克隆功能.</w:t>
      </w:r>
    </w:p>
    <w:p w14:paraId="503C9B10">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.23</w:t>
      </w:r>
      <w:r>
        <w:rPr>
          <w:rFonts w:hint="eastAsia" w:asciiTheme="minorEastAsia" w:hAnsiTheme="minorEastAsia" w:eastAsiaTheme="minorEastAsia"/>
        </w:rPr>
        <w:t>非OEM或者贴牌,提供生产厂家的证明函及对本项目的授权函；</w:t>
      </w:r>
      <w:r>
        <w:rPr>
          <w:rFonts w:asciiTheme="minorEastAsia" w:hAnsiTheme="minorEastAsia" w:eastAsiaTheme="minorEastAsia"/>
        </w:rPr>
        <w:t xml:space="preserve"> </w:t>
      </w:r>
    </w:p>
    <w:p w14:paraId="40158C7B">
      <w:pPr>
        <w:spacing w:line="360" w:lineRule="auto"/>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.24</w:t>
      </w:r>
      <w:r>
        <w:rPr>
          <w:rFonts w:hint="eastAsia" w:asciiTheme="minorEastAsia" w:hAnsiTheme="minorEastAsia" w:eastAsiaTheme="minorEastAsia"/>
        </w:rPr>
        <w:t>三年7×24×4带备件现场服务；</w:t>
      </w:r>
    </w:p>
    <w:p w14:paraId="46DA6BA7">
      <w:pPr>
        <w:spacing w:line="360" w:lineRule="auto"/>
        <w:rPr>
          <w:rFonts w:hint="eastAsia" w:asciiTheme="minorEastAsia" w:hAnsiTheme="minorEastAsia" w:eastAsiaTheme="minorEastAsia"/>
        </w:rPr>
      </w:pPr>
    </w:p>
    <w:p w14:paraId="1DB2F5FE">
      <w:pPr>
        <w:spacing w:line="360" w:lineRule="auto"/>
        <w:rPr>
          <w:rFonts w:hint="eastAsia" w:asciiTheme="minorEastAsia" w:hAnsiTheme="minorEastAsia" w:eastAsiaTheme="minorEastAsia"/>
        </w:rPr>
      </w:pPr>
      <w:r>
        <w:rPr>
          <w:rFonts w:hint="eastAsia" w:asciiTheme="minorEastAsia" w:hAnsiTheme="minorEastAsia" w:eastAsiaTheme="minorEastAsia"/>
          <w:b/>
          <w:bCs/>
        </w:rPr>
        <w:t>2、堡垒机</w:t>
      </w:r>
    </w:p>
    <w:p w14:paraId="64520C45">
      <w:pPr>
        <w:spacing w:line="360" w:lineRule="auto"/>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、1U或者2U标准机箱，不少于4个千兆电口和4个SFP（含SFP光模块）；</w:t>
      </w:r>
    </w:p>
    <w:p w14:paraId="2036AFEA">
      <w:pPr>
        <w:spacing w:line="360" w:lineRule="auto"/>
        <w:rPr>
          <w:rFonts w:hint="eastAsia"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、标配双电源；</w:t>
      </w:r>
    </w:p>
    <w:p w14:paraId="7BA14156">
      <w:pPr>
        <w:spacing w:line="360" w:lineRule="auto"/>
        <w:rPr>
          <w:rFonts w:hint="eastAsia"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、提供机架导轨及C13-C14型支持机柜PDU电源线；</w:t>
      </w:r>
    </w:p>
    <w:p w14:paraId="20FD9968">
      <w:pPr>
        <w:spacing w:line="360" w:lineRule="auto"/>
        <w:rPr>
          <w:rFonts w:hint="eastAsia"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、标配不低于4TB存储，内存不低于16GB；</w:t>
      </w:r>
    </w:p>
    <w:p w14:paraId="40054082">
      <w:pPr>
        <w:spacing w:line="360" w:lineRule="auto"/>
        <w:rPr>
          <w:rFonts w:hint="eastAsia"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不低于</w:t>
      </w:r>
      <w:r>
        <w:rPr>
          <w:rFonts w:hint="eastAsia" w:asciiTheme="minorEastAsia" w:hAnsiTheme="minorEastAsia" w:eastAsiaTheme="minorEastAsia"/>
          <w:highlight w:val="yellow"/>
          <w:lang w:val="en-US" w:eastAsia="zh-CN"/>
        </w:rPr>
        <w:t>400个</w:t>
      </w:r>
      <w:r>
        <w:rPr>
          <w:rFonts w:hint="eastAsia" w:asciiTheme="minorEastAsia" w:hAnsiTheme="minorEastAsia" w:eastAsiaTheme="minorEastAsia"/>
        </w:rPr>
        <w:t>主机/设备许可，用户数不限制；</w:t>
      </w:r>
    </w:p>
    <w:p w14:paraId="71F80986">
      <w:pPr>
        <w:spacing w:line="360" w:lineRule="auto"/>
        <w:rPr>
          <w:rFonts w:hint="eastAsia"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、物理旁路单臂部署，以逻辑网关方式工作；</w:t>
      </w:r>
    </w:p>
    <w:p w14:paraId="5F324624">
      <w:pPr>
        <w:spacing w:line="360" w:lineRule="auto"/>
        <w:rPr>
          <w:rFonts w:hint="eastAsia"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、不改变现有网络结构，不改变运维人员的运维习惯；</w:t>
      </w:r>
    </w:p>
    <w:p w14:paraId="44A7A509">
      <w:pPr>
        <w:spacing w:line="360" w:lineRule="auto"/>
        <w:rPr>
          <w:rFonts w:hint="eastAsia" w:asciiTheme="minorEastAsia" w:hAnsiTheme="minorEastAsia" w:eastAsiaTheme="minorEastAsia"/>
        </w:rPr>
      </w:pPr>
      <w:r>
        <w:rPr>
          <w:rFonts w:asciiTheme="minorEastAsia" w:hAnsiTheme="minorEastAsia" w:eastAsiaTheme="minorEastAsia"/>
        </w:rPr>
        <w:t>8</w:t>
      </w:r>
      <w:r>
        <w:rPr>
          <w:rFonts w:hint="eastAsia" w:asciiTheme="minorEastAsia" w:hAnsiTheme="minorEastAsia" w:eastAsiaTheme="minorEastAsia"/>
        </w:rPr>
        <w:t>、支持unix资源、网络资源、windows资源、数据库资源、C/S资源、B/S资源、中间件资源、大型机资源等；</w:t>
      </w:r>
    </w:p>
    <w:p w14:paraId="0C70A30E">
      <w:pPr>
        <w:spacing w:line="360" w:lineRule="auto"/>
        <w:rPr>
          <w:rFonts w:hint="eastAsia"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、支持SSH、TELNET、FTP、SFTP、VNC、XWINDOW、WINDOWS文件共享等协议；</w:t>
      </w:r>
    </w:p>
    <w:p w14:paraId="114A2F99">
      <w:pPr>
        <w:spacing w:line="360" w:lineRule="auto"/>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、支持管理口与业务口分离，启用管理隔离后，实现管理和运维操作的分离。</w:t>
      </w:r>
    </w:p>
    <w:p w14:paraId="1E10E38A">
      <w:pPr>
        <w:spacing w:line="360" w:lineRule="auto"/>
        <w:rPr>
          <w:rFonts w:ascii="宋体" w:hAnsi="宋体"/>
          <w:b/>
          <w:sz w:val="24"/>
        </w:rPr>
      </w:pPr>
    </w:p>
    <w:p w14:paraId="63FA2B50">
      <w:pPr>
        <w:spacing w:line="360" w:lineRule="auto"/>
        <w:rPr>
          <w:rFonts w:ascii="宋体" w:hAnsi="宋体"/>
          <w:b/>
          <w:sz w:val="24"/>
        </w:rPr>
      </w:pPr>
      <w:r>
        <w:rPr>
          <w:rFonts w:hint="eastAsia" w:ascii="宋体" w:hAnsi="宋体"/>
          <w:b/>
          <w:sz w:val="24"/>
        </w:rPr>
        <w:t>四、质量要求</w:t>
      </w:r>
    </w:p>
    <w:p w14:paraId="08DD6ED5">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20E83159">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42DE7E2F">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4F0943EF">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4A93B1A0">
      <w:pPr>
        <w:widowControl/>
        <w:spacing w:line="360" w:lineRule="auto"/>
        <w:jc w:val="left"/>
        <w:rPr>
          <w:b/>
          <w:sz w:val="24"/>
        </w:rPr>
      </w:pPr>
    </w:p>
    <w:p w14:paraId="697BD93A">
      <w:pPr>
        <w:widowControl/>
        <w:spacing w:line="360" w:lineRule="auto"/>
        <w:ind w:left="2048" w:hanging="2048"/>
        <w:jc w:val="left"/>
        <w:rPr>
          <w:b/>
          <w:sz w:val="24"/>
        </w:rPr>
      </w:pPr>
      <w:r>
        <w:rPr>
          <w:rFonts w:hint="eastAsia"/>
          <w:b/>
          <w:sz w:val="24"/>
        </w:rPr>
        <w:t>五、服务要求</w:t>
      </w:r>
    </w:p>
    <w:p w14:paraId="1F50E0AC">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14:paraId="1510247A">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14:paraId="46420B1E">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w:t>
      </w:r>
    </w:p>
    <w:p w14:paraId="22C300B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14:paraId="5C7A3B09">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14:paraId="73C92582">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供应商保证如</w:t>
      </w:r>
      <w:r>
        <w:rPr>
          <w:rFonts w:hint="eastAsia" w:cs="宋体" w:asciiTheme="minorEastAsia" w:hAnsiTheme="minorEastAsia" w:eastAsiaTheme="minorEastAsia"/>
          <w:szCs w:val="21"/>
          <w:lang w:val="en-US" w:eastAsia="zh-CN"/>
        </w:rPr>
        <w:t>采购</w:t>
      </w:r>
      <w:r>
        <w:rPr>
          <w:rFonts w:hint="eastAsia" w:cs="宋体" w:asciiTheme="minorEastAsia" w:hAnsiTheme="minorEastAsia" w:eastAsiaTheme="minorEastAsia"/>
          <w:szCs w:val="21"/>
        </w:rPr>
        <w:t>设备需连接医院信息业务管理系统(如HIS系统等),供应商需免费提供接口，并协助</w:t>
      </w:r>
      <w:r>
        <w:rPr>
          <w:rFonts w:hint="eastAsia" w:cs="宋体" w:asciiTheme="minorEastAsia" w:hAnsiTheme="minorEastAsia" w:eastAsiaTheme="minorEastAsia"/>
          <w:szCs w:val="21"/>
          <w:lang w:val="en-US" w:eastAsia="zh-CN"/>
        </w:rPr>
        <w:t>采购人</w:t>
      </w:r>
      <w:r>
        <w:rPr>
          <w:rFonts w:hint="eastAsia" w:cs="宋体" w:asciiTheme="minorEastAsia" w:hAnsiTheme="minorEastAsia" w:eastAsiaTheme="minorEastAsia"/>
          <w:szCs w:val="21"/>
        </w:rPr>
        <w:t>完成</w:t>
      </w:r>
      <w:r>
        <w:rPr>
          <w:rFonts w:hint="eastAsia" w:cs="宋体" w:asciiTheme="minorEastAsia" w:hAnsiTheme="minorEastAsia" w:eastAsiaTheme="minorEastAsia"/>
          <w:szCs w:val="21"/>
          <w:lang w:val="en-US" w:eastAsia="zh-CN"/>
        </w:rPr>
        <w:t>采购</w:t>
      </w:r>
      <w:r>
        <w:rPr>
          <w:rFonts w:hint="eastAsia" w:cs="宋体" w:asciiTheme="minorEastAsia" w:hAnsiTheme="minorEastAsia" w:eastAsiaTheme="minorEastAsia"/>
          <w:szCs w:val="21"/>
        </w:rPr>
        <w:t>设备连接医院信息系统的工作，保证在正常使用设备情况下不影响医院信息系统运作，并且不得额外收取费用。</w:t>
      </w:r>
    </w:p>
    <w:p w14:paraId="7D9B3C85">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供应商保证如</w:t>
      </w:r>
      <w:r>
        <w:rPr>
          <w:rFonts w:hint="eastAsia" w:cs="宋体" w:asciiTheme="minorEastAsia" w:hAnsiTheme="minorEastAsia" w:eastAsiaTheme="minorEastAsia"/>
          <w:szCs w:val="21"/>
          <w:lang w:val="en-US" w:eastAsia="zh-CN"/>
        </w:rPr>
        <w:t>采购</w:t>
      </w:r>
      <w:r>
        <w:rPr>
          <w:rFonts w:hint="eastAsia" w:cs="宋体" w:asciiTheme="minorEastAsia" w:hAnsiTheme="minorEastAsia" w:eastAsiaTheme="minorEastAsia"/>
          <w:szCs w:val="21"/>
        </w:rPr>
        <w:t>设备系统升级时，为所有软件提供免费升级和版本更换。</w:t>
      </w:r>
    </w:p>
    <w:p w14:paraId="10E0B9AA">
      <w:pPr>
        <w:widowControl/>
        <w:spacing w:line="360" w:lineRule="auto"/>
        <w:jc w:val="left"/>
        <w:rPr>
          <w:b/>
          <w:sz w:val="24"/>
        </w:rPr>
      </w:pPr>
    </w:p>
    <w:p w14:paraId="7EFA2066">
      <w:pPr>
        <w:widowControl/>
        <w:spacing w:line="384" w:lineRule="auto"/>
        <w:jc w:val="left"/>
        <w:rPr>
          <w:sz w:val="24"/>
        </w:rPr>
      </w:pPr>
      <w:r>
        <w:rPr>
          <w:rFonts w:hint="eastAsia"/>
          <w:b/>
          <w:sz w:val="24"/>
        </w:rPr>
        <w:t>六、验收与结算</w:t>
      </w:r>
    </w:p>
    <w:p w14:paraId="7F91FBA1">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bookmarkStart w:id="0" w:name="_GoBack"/>
      <w:bookmarkEnd w:id="0"/>
    </w:p>
    <w:p w14:paraId="551808F3">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28210CD2">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14C202DD">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5C7D">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71FCFAE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NDExYjZhN2I2NjM1MGU3OTY1OTUyYTRmNjU3NT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773CD"/>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066"/>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23D9"/>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296A"/>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575D8"/>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4603"/>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351EF"/>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13E04B6"/>
    <w:rsid w:val="0B0E30C9"/>
    <w:rsid w:val="14580358"/>
    <w:rsid w:val="1BEF4851"/>
    <w:rsid w:val="308E426C"/>
    <w:rsid w:val="33202FF1"/>
    <w:rsid w:val="3547008D"/>
    <w:rsid w:val="381F7624"/>
    <w:rsid w:val="3A8D4AD5"/>
    <w:rsid w:val="40EC0208"/>
    <w:rsid w:val="42570ABC"/>
    <w:rsid w:val="44AD0C81"/>
    <w:rsid w:val="5B81656C"/>
    <w:rsid w:val="5C7727E9"/>
    <w:rsid w:val="61960834"/>
    <w:rsid w:val="6C627CF4"/>
    <w:rsid w:val="73A23CF3"/>
    <w:rsid w:val="74014D3F"/>
    <w:rsid w:val="79805345"/>
    <w:rsid w:val="7BDF02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styleId="20">
    <w:name w:val="List Paragraph"/>
    <w:basedOn w:val="1"/>
    <w:qFormat/>
    <w:uiPriority w:val="34"/>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2315</Words>
  <Characters>2752</Characters>
  <Lines>20</Lines>
  <Paragraphs>5</Paragraphs>
  <TotalTime>2</TotalTime>
  <ScaleCrop>false</ScaleCrop>
  <LinksUpToDate>false</LinksUpToDate>
  <CharactersWithSpaces>2769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孟伶俊</cp:lastModifiedBy>
  <cp:lastPrinted>2023-12-14T10:29:00Z</cp:lastPrinted>
  <dcterms:modified xsi:type="dcterms:W3CDTF">2024-10-08T00:32:04Z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2C75BE3C294C4FBD99F1D1892FDCF162</vt:lpwstr>
  </property>
</Properties>
</file>