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Theme="minorEastAsia" w:hAnsiTheme="minorEastAsia" w:cstheme="minorEastAsia"/>
          <w:b/>
          <w:kern w:val="0"/>
          <w:sz w:val="32"/>
          <w:szCs w:val="32"/>
        </w:rPr>
      </w:pPr>
      <w:r>
        <w:rPr>
          <w:rFonts w:hint="eastAsia" w:asciiTheme="minorEastAsia" w:hAnsiTheme="minorEastAsia" w:cstheme="minorEastAsia"/>
          <w:b/>
          <w:kern w:val="0"/>
          <w:sz w:val="32"/>
          <w:szCs w:val="32"/>
        </w:rPr>
        <w:t>用户需求书</w:t>
      </w:r>
    </w:p>
    <w:p>
      <w:pPr>
        <w:widowControl/>
        <w:spacing w:line="5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一、项目概况</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1、项目名称：中山市中医院2025-2028年医用气体配送服务项目</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2、项目内容：为满足临床科室对氧气、氮气、二氧化碳等医用气体的使用需求，医院拟委托一家公司，进行医用气体的配送及售后服务。</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3、项目预算金额：1</w:t>
      </w:r>
      <w:r>
        <w:rPr>
          <w:rFonts w:ascii="宋体" w:hAnsi="宋体" w:cs="宋体"/>
          <w:color w:val="000000"/>
          <w:sz w:val="24"/>
          <w:szCs w:val="24"/>
        </w:rPr>
        <w:t>350</w:t>
      </w:r>
      <w:r>
        <w:rPr>
          <w:rFonts w:hint="eastAsia" w:ascii="宋体" w:hAnsi="宋体" w:cs="宋体"/>
          <w:color w:val="000000"/>
          <w:sz w:val="24"/>
          <w:szCs w:val="24"/>
        </w:rPr>
        <w:t>万元</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4、供货期限：三年</w:t>
      </w:r>
    </w:p>
    <w:p>
      <w:pPr>
        <w:adjustRightInd w:val="0"/>
        <w:snapToGrid w:val="0"/>
        <w:spacing w:line="500" w:lineRule="exact"/>
        <w:rPr>
          <w:rFonts w:asciiTheme="minorEastAsia" w:hAnsiTheme="minorEastAsia" w:cstheme="minorEastAsia"/>
          <w:b/>
          <w:bCs/>
          <w:kern w:val="0"/>
          <w:sz w:val="28"/>
          <w:szCs w:val="28"/>
        </w:rPr>
      </w:pPr>
      <w:r>
        <w:rPr>
          <w:rFonts w:hint="eastAsia" w:ascii="宋体" w:hAnsi="宋体" w:cs="宋体"/>
          <w:color w:val="000000"/>
          <w:sz w:val="24"/>
          <w:szCs w:val="24"/>
        </w:rPr>
        <w:t>5、报价：报价包括但不限于货物配送、运输、验收、设备维修、供氧中心及供气主管道维保、钢瓶检定等</w:t>
      </w:r>
      <w:r>
        <w:rPr>
          <w:rFonts w:hint="eastAsia" w:ascii="宋体" w:hAnsi="宋体" w:cs="宋体"/>
          <w:color w:val="000000"/>
          <w:sz w:val="24"/>
          <w:szCs w:val="24"/>
          <w:lang w:val="en-US" w:eastAsia="zh-CN"/>
        </w:rPr>
        <w:t>相</w:t>
      </w:r>
      <w:bookmarkStart w:id="0" w:name="_GoBack"/>
      <w:bookmarkEnd w:id="0"/>
      <w:r>
        <w:rPr>
          <w:rFonts w:hint="eastAsia" w:ascii="宋体" w:hAnsi="宋体" w:cs="宋体"/>
          <w:color w:val="000000"/>
          <w:sz w:val="24"/>
          <w:szCs w:val="24"/>
        </w:rPr>
        <w:t>关服务，以及完成本项目所需的其他相关费用。</w:t>
      </w:r>
    </w:p>
    <w:p>
      <w:pPr>
        <w:widowControl/>
        <w:spacing w:line="5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二、项目清单</w:t>
      </w:r>
    </w:p>
    <w:tbl>
      <w:tblPr>
        <w:tblStyle w:val="9"/>
        <w:tblW w:w="8540" w:type="dxa"/>
        <w:jc w:val="center"/>
        <w:tblLayout w:type="autofit"/>
        <w:tblCellMar>
          <w:top w:w="0" w:type="dxa"/>
          <w:left w:w="108" w:type="dxa"/>
          <w:bottom w:w="0" w:type="dxa"/>
          <w:right w:w="108" w:type="dxa"/>
        </w:tblCellMar>
      </w:tblPr>
      <w:tblGrid>
        <w:gridCol w:w="817"/>
        <w:gridCol w:w="1628"/>
        <w:gridCol w:w="708"/>
        <w:gridCol w:w="993"/>
        <w:gridCol w:w="1476"/>
        <w:gridCol w:w="1134"/>
        <w:gridCol w:w="1784"/>
      </w:tblGrid>
      <w:tr>
        <w:tblPrEx>
          <w:tblCellMar>
            <w:top w:w="0" w:type="dxa"/>
            <w:left w:w="108" w:type="dxa"/>
            <w:bottom w:w="0" w:type="dxa"/>
            <w:right w:w="108" w:type="dxa"/>
          </w:tblCellMar>
        </w:tblPrEx>
        <w:trPr>
          <w:trHeight w:val="402"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62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货物名称</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规格 </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纯度（%）</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预估</w:t>
            </w:r>
            <w:r>
              <w:rPr>
                <w:rFonts w:ascii="宋体" w:hAnsi="宋体" w:eastAsia="宋体" w:cs="宋体"/>
                <w:color w:val="000000"/>
                <w:kern w:val="0"/>
                <w:szCs w:val="21"/>
              </w:rPr>
              <w:t>数量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402" w:hRule="atLeast"/>
          <w:jc w:val="center"/>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62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医用氧（液态）</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吨</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储罐装</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380" w:lineRule="exact"/>
              <w:jc w:val="center"/>
              <w:rPr>
                <w:rFonts w:ascii="宋体" w:hAnsi="宋体" w:eastAsia="宋体" w:cs="宋体"/>
                <w:color w:val="000000"/>
                <w:szCs w:val="21"/>
              </w:rPr>
            </w:pPr>
            <w:r>
              <w:rPr>
                <w:color w:val="000000"/>
                <w:szCs w:val="21"/>
              </w:rPr>
              <w:t>6200</w:t>
            </w:r>
          </w:p>
        </w:tc>
        <w:tc>
          <w:tcPr>
            <w:tcW w:w="2126"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药品级</w:t>
            </w:r>
          </w:p>
        </w:tc>
      </w:tr>
      <w:tr>
        <w:tblPrEx>
          <w:tblCellMar>
            <w:top w:w="0" w:type="dxa"/>
            <w:left w:w="108" w:type="dxa"/>
            <w:bottom w:w="0" w:type="dxa"/>
            <w:right w:w="108" w:type="dxa"/>
          </w:tblCellMar>
        </w:tblPrEx>
        <w:trPr>
          <w:trHeight w:val="402" w:hRule="atLeast"/>
          <w:jc w:val="center"/>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2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医用氧（气态）</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380" w:lineRule="exact"/>
              <w:jc w:val="center"/>
              <w:rPr>
                <w:rFonts w:ascii="宋体" w:hAnsi="宋体" w:eastAsia="宋体" w:cs="宋体"/>
                <w:color w:val="000000"/>
                <w:szCs w:val="21"/>
              </w:rPr>
            </w:pPr>
            <w:r>
              <w:rPr>
                <w:color w:val="000000"/>
                <w:szCs w:val="21"/>
              </w:rPr>
              <w:t>42000</w:t>
            </w:r>
          </w:p>
        </w:tc>
        <w:tc>
          <w:tcPr>
            <w:tcW w:w="2126"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药品级</w:t>
            </w:r>
          </w:p>
        </w:tc>
      </w:tr>
      <w:tr>
        <w:tblPrEx>
          <w:tblCellMar>
            <w:top w:w="0" w:type="dxa"/>
            <w:left w:w="108" w:type="dxa"/>
            <w:bottom w:w="0" w:type="dxa"/>
            <w:right w:w="108" w:type="dxa"/>
          </w:tblCellMar>
        </w:tblPrEx>
        <w:trPr>
          <w:trHeight w:val="402" w:hRule="atLeast"/>
          <w:jc w:val="center"/>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62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医用氧（气态）</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380" w:lineRule="exact"/>
              <w:jc w:val="center"/>
              <w:rPr>
                <w:rFonts w:ascii="宋体" w:hAnsi="宋体" w:eastAsia="宋体" w:cs="宋体"/>
                <w:color w:val="000000"/>
                <w:szCs w:val="21"/>
              </w:rPr>
            </w:pPr>
            <w:r>
              <w:rPr>
                <w:color w:val="000000"/>
                <w:szCs w:val="21"/>
              </w:rPr>
              <w:t>2400</w:t>
            </w:r>
          </w:p>
        </w:tc>
        <w:tc>
          <w:tcPr>
            <w:tcW w:w="2126"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药品级</w:t>
            </w:r>
          </w:p>
        </w:tc>
      </w:tr>
      <w:tr>
        <w:tblPrEx>
          <w:tblCellMar>
            <w:top w:w="0" w:type="dxa"/>
            <w:left w:w="108" w:type="dxa"/>
            <w:bottom w:w="0" w:type="dxa"/>
            <w:right w:w="108" w:type="dxa"/>
          </w:tblCellMar>
        </w:tblPrEx>
        <w:trPr>
          <w:trHeight w:val="402" w:hRule="atLeast"/>
          <w:jc w:val="center"/>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62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医用氧（气态）</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380" w:lineRule="exact"/>
              <w:jc w:val="center"/>
              <w:rPr>
                <w:rFonts w:ascii="宋体" w:hAnsi="宋体" w:eastAsia="宋体" w:cs="宋体"/>
                <w:color w:val="000000"/>
                <w:szCs w:val="21"/>
              </w:rPr>
            </w:pPr>
            <w:r>
              <w:rPr>
                <w:color w:val="000000"/>
                <w:szCs w:val="21"/>
              </w:rPr>
              <w:t>3000</w:t>
            </w:r>
          </w:p>
        </w:tc>
        <w:tc>
          <w:tcPr>
            <w:tcW w:w="2126"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药品级</w:t>
            </w:r>
          </w:p>
        </w:tc>
      </w:tr>
      <w:tr>
        <w:tblPrEx>
          <w:tblCellMar>
            <w:top w:w="0" w:type="dxa"/>
            <w:left w:w="108" w:type="dxa"/>
            <w:bottom w:w="0" w:type="dxa"/>
            <w:right w:w="108" w:type="dxa"/>
          </w:tblCellMar>
        </w:tblPrEx>
        <w:trPr>
          <w:trHeight w:val="420" w:hRule="atLeast"/>
          <w:jc w:val="center"/>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62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液氮</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罐</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≥99.999</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380" w:lineRule="exact"/>
              <w:jc w:val="center"/>
              <w:rPr>
                <w:rFonts w:ascii="宋体" w:hAnsi="宋体" w:eastAsia="宋体" w:cs="宋体"/>
                <w:color w:val="000000"/>
                <w:szCs w:val="21"/>
              </w:rPr>
            </w:pPr>
            <w:r>
              <w:rPr>
                <w:color w:val="000000"/>
                <w:szCs w:val="21"/>
              </w:rPr>
              <w:t>1600</w:t>
            </w:r>
          </w:p>
        </w:tc>
        <w:tc>
          <w:tcPr>
            <w:tcW w:w="2126"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皮肤、药理实验室</w:t>
            </w:r>
          </w:p>
        </w:tc>
      </w:tr>
      <w:tr>
        <w:tblPrEx>
          <w:tblCellMar>
            <w:top w:w="0" w:type="dxa"/>
            <w:left w:w="108" w:type="dxa"/>
            <w:bottom w:w="0" w:type="dxa"/>
            <w:right w:w="108" w:type="dxa"/>
          </w:tblCellMar>
        </w:tblPrEx>
        <w:trPr>
          <w:trHeight w:val="510" w:hRule="atLeast"/>
          <w:jc w:val="center"/>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62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高纯氩</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≥99.999</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380" w:lineRule="exact"/>
              <w:jc w:val="center"/>
              <w:rPr>
                <w:rFonts w:ascii="宋体" w:hAnsi="宋体" w:eastAsia="宋体" w:cs="宋体"/>
                <w:color w:val="000000"/>
                <w:szCs w:val="21"/>
              </w:rPr>
            </w:pPr>
            <w:r>
              <w:rPr>
                <w:color w:val="000000"/>
                <w:szCs w:val="21"/>
              </w:rPr>
              <w:t>30</w:t>
            </w:r>
          </w:p>
        </w:tc>
        <w:tc>
          <w:tcPr>
            <w:tcW w:w="2126"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内窥镜</w:t>
            </w:r>
          </w:p>
        </w:tc>
      </w:tr>
      <w:tr>
        <w:tblPrEx>
          <w:tblCellMar>
            <w:top w:w="0" w:type="dxa"/>
            <w:left w:w="108" w:type="dxa"/>
            <w:bottom w:w="0" w:type="dxa"/>
            <w:right w:w="108" w:type="dxa"/>
          </w:tblCellMar>
        </w:tblPrEx>
        <w:trPr>
          <w:trHeight w:val="402" w:hRule="atLeast"/>
          <w:jc w:val="center"/>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62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高纯氮</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≥99.999</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380" w:lineRule="exact"/>
              <w:jc w:val="center"/>
              <w:rPr>
                <w:rFonts w:ascii="宋体" w:hAnsi="宋体" w:eastAsia="宋体" w:cs="宋体"/>
                <w:color w:val="000000"/>
                <w:szCs w:val="21"/>
              </w:rPr>
            </w:pPr>
            <w:r>
              <w:rPr>
                <w:color w:val="000000"/>
                <w:szCs w:val="21"/>
              </w:rPr>
              <w:t>900</w:t>
            </w:r>
          </w:p>
        </w:tc>
        <w:tc>
          <w:tcPr>
            <w:tcW w:w="2126"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手术室</w:t>
            </w:r>
          </w:p>
        </w:tc>
      </w:tr>
      <w:tr>
        <w:tblPrEx>
          <w:tblCellMar>
            <w:top w:w="0" w:type="dxa"/>
            <w:left w:w="108" w:type="dxa"/>
            <w:bottom w:w="0" w:type="dxa"/>
            <w:right w:w="108" w:type="dxa"/>
          </w:tblCellMar>
        </w:tblPrEx>
        <w:trPr>
          <w:trHeight w:val="402" w:hRule="atLeast"/>
          <w:jc w:val="center"/>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62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二氧化碳</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13.5升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380" w:lineRule="exact"/>
              <w:jc w:val="center"/>
              <w:rPr>
                <w:rFonts w:ascii="宋体" w:hAnsi="宋体" w:eastAsia="宋体" w:cs="宋体"/>
                <w:color w:val="000000"/>
                <w:szCs w:val="21"/>
              </w:rPr>
            </w:pPr>
            <w:r>
              <w:rPr>
                <w:color w:val="000000"/>
                <w:szCs w:val="21"/>
              </w:rPr>
              <w:t>7200</w:t>
            </w:r>
          </w:p>
        </w:tc>
        <w:tc>
          <w:tcPr>
            <w:tcW w:w="2126"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骨科、检验科</w:t>
            </w:r>
          </w:p>
        </w:tc>
      </w:tr>
      <w:tr>
        <w:tblPrEx>
          <w:tblCellMar>
            <w:top w:w="0" w:type="dxa"/>
            <w:left w:w="108" w:type="dxa"/>
            <w:bottom w:w="0" w:type="dxa"/>
            <w:right w:w="108" w:type="dxa"/>
          </w:tblCellMar>
        </w:tblPrEx>
        <w:trPr>
          <w:trHeight w:val="402" w:hRule="atLeast"/>
          <w:jc w:val="center"/>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62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二氧化碳</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nil"/>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spacing w:line="380" w:lineRule="exact"/>
              <w:jc w:val="center"/>
              <w:rPr>
                <w:rFonts w:ascii="宋体" w:hAnsi="宋体" w:eastAsia="宋体" w:cs="宋体"/>
                <w:color w:val="000000"/>
                <w:szCs w:val="21"/>
              </w:rPr>
            </w:pPr>
            <w:r>
              <w:rPr>
                <w:color w:val="000000"/>
                <w:szCs w:val="21"/>
              </w:rPr>
              <w:t>80</w:t>
            </w:r>
          </w:p>
        </w:tc>
        <w:tc>
          <w:tcPr>
            <w:tcW w:w="2126" w:type="dxa"/>
            <w:tcBorders>
              <w:top w:val="nil"/>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药理实验室</w:t>
            </w:r>
          </w:p>
        </w:tc>
      </w:tr>
      <w:tr>
        <w:tblPrEx>
          <w:tblCellMar>
            <w:top w:w="0" w:type="dxa"/>
            <w:left w:w="108" w:type="dxa"/>
            <w:bottom w:w="0" w:type="dxa"/>
            <w:right w:w="108" w:type="dxa"/>
          </w:tblCellMar>
        </w:tblPrEx>
        <w:trPr>
          <w:trHeight w:val="43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62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二氧化碳</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≥99.99</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80" w:lineRule="exact"/>
              <w:jc w:val="center"/>
              <w:rPr>
                <w:rFonts w:ascii="宋体" w:hAnsi="宋体" w:eastAsia="宋体" w:cs="宋体"/>
                <w:color w:val="000000"/>
                <w:szCs w:val="21"/>
              </w:rPr>
            </w:pPr>
            <w:r>
              <w:rPr>
                <w:color w:val="000000"/>
                <w:szCs w:val="21"/>
              </w:rPr>
              <w:t>490</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手术室、内窥镜</w:t>
            </w:r>
          </w:p>
        </w:tc>
      </w:tr>
      <w:tr>
        <w:tblPrEx>
          <w:tblCellMar>
            <w:top w:w="0" w:type="dxa"/>
            <w:left w:w="108" w:type="dxa"/>
            <w:bottom w:w="0" w:type="dxa"/>
            <w:right w:w="108" w:type="dxa"/>
          </w:tblCellMar>
        </w:tblPrEx>
        <w:trPr>
          <w:trHeight w:val="43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62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高纯乙炔</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≥99.9</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80" w:lineRule="exact"/>
              <w:jc w:val="center"/>
              <w:rPr>
                <w:color w:val="000000"/>
                <w:szCs w:val="21"/>
              </w:rPr>
            </w:pPr>
            <w:r>
              <w:rPr>
                <w:color w:val="000000"/>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检验科</w:t>
            </w:r>
          </w:p>
        </w:tc>
      </w:tr>
      <w:tr>
        <w:tblPrEx>
          <w:tblCellMar>
            <w:top w:w="0" w:type="dxa"/>
            <w:left w:w="108" w:type="dxa"/>
            <w:bottom w:w="0" w:type="dxa"/>
            <w:right w:w="108" w:type="dxa"/>
          </w:tblCellMar>
        </w:tblPrEx>
        <w:trPr>
          <w:trHeight w:val="43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62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氮气</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≥99.5</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80" w:lineRule="exact"/>
              <w:jc w:val="center"/>
              <w:rPr>
                <w:color w:val="000000"/>
                <w:szCs w:val="21"/>
              </w:rPr>
            </w:pPr>
            <w:r>
              <w:rPr>
                <w:rFonts w:hint="eastAsia"/>
                <w:color w:val="000000"/>
                <w:szCs w:val="21"/>
              </w:rPr>
              <w:t>21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药理实验室</w:t>
            </w:r>
          </w:p>
        </w:tc>
      </w:tr>
      <w:tr>
        <w:tblPrEx>
          <w:tblCellMar>
            <w:top w:w="0" w:type="dxa"/>
            <w:left w:w="108" w:type="dxa"/>
            <w:bottom w:w="0" w:type="dxa"/>
            <w:right w:w="108" w:type="dxa"/>
          </w:tblCellMar>
        </w:tblPrEx>
        <w:trPr>
          <w:trHeight w:val="43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62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干燥空气</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80" w:lineRule="exact"/>
              <w:jc w:val="center"/>
              <w:rPr>
                <w:color w:val="000000"/>
                <w:szCs w:val="21"/>
              </w:rPr>
            </w:pPr>
            <w:r>
              <w:rPr>
                <w:rFonts w:hint="eastAsia"/>
                <w:color w:val="000000"/>
                <w:szCs w:val="21"/>
              </w:rPr>
              <w:t>15</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药理实验室</w:t>
            </w:r>
          </w:p>
        </w:tc>
      </w:tr>
      <w:tr>
        <w:tblPrEx>
          <w:tblCellMar>
            <w:top w:w="0" w:type="dxa"/>
            <w:left w:w="108" w:type="dxa"/>
            <w:bottom w:w="0" w:type="dxa"/>
            <w:right w:w="108" w:type="dxa"/>
          </w:tblCellMar>
        </w:tblPrEx>
        <w:trPr>
          <w:trHeight w:val="43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62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干冰</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公斤</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80" w:lineRule="exact"/>
              <w:jc w:val="center"/>
              <w:rPr>
                <w:color w:val="000000"/>
                <w:szCs w:val="21"/>
              </w:rPr>
            </w:pPr>
            <w:r>
              <w:rPr>
                <w:rFonts w:hint="eastAsia"/>
                <w:color w:val="000000"/>
                <w:szCs w:val="21"/>
              </w:rPr>
              <w:t>900</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药理实验室</w:t>
            </w:r>
          </w:p>
        </w:tc>
      </w:tr>
      <w:tr>
        <w:tblPrEx>
          <w:tblCellMar>
            <w:top w:w="0" w:type="dxa"/>
            <w:left w:w="108" w:type="dxa"/>
            <w:bottom w:w="0" w:type="dxa"/>
            <w:right w:w="108" w:type="dxa"/>
          </w:tblCellMar>
        </w:tblPrEx>
        <w:trPr>
          <w:trHeight w:val="43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62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高纯氦气</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≥99.999</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80" w:lineRule="exact"/>
              <w:jc w:val="center"/>
              <w:rPr>
                <w:color w:val="000000"/>
                <w:szCs w:val="21"/>
              </w:rPr>
            </w:pPr>
            <w:r>
              <w:rPr>
                <w:rFonts w:hint="eastAsia"/>
                <w:color w:val="000000"/>
                <w:szCs w:val="21"/>
              </w:rPr>
              <w:t>30</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ICU</w:t>
            </w:r>
          </w:p>
        </w:tc>
      </w:tr>
      <w:tr>
        <w:tblPrEx>
          <w:tblCellMar>
            <w:top w:w="0" w:type="dxa"/>
            <w:left w:w="108" w:type="dxa"/>
            <w:bottom w:w="0" w:type="dxa"/>
            <w:right w:w="108" w:type="dxa"/>
          </w:tblCellMar>
        </w:tblPrEx>
        <w:trPr>
          <w:trHeight w:val="43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162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标准气</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spacing w:line="3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40升</w:t>
            </w:r>
          </w:p>
        </w:tc>
        <w:tc>
          <w:tcPr>
            <w:tcW w:w="1134" w:type="dxa"/>
            <w:tcBorders>
              <w:top w:val="single" w:color="auto" w:sz="4" w:space="0"/>
              <w:left w:val="nil"/>
              <w:bottom w:val="single" w:color="auto" w:sz="4" w:space="0"/>
              <w:right w:val="nil"/>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标准：CO:0.26-0.3%</w:t>
            </w:r>
          </w:p>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He：9.2-9.8%</w:t>
            </w:r>
          </w:p>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AIR Bal</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80" w:lineRule="exact"/>
              <w:jc w:val="center"/>
              <w:rPr>
                <w:color w:val="000000"/>
                <w:szCs w:val="21"/>
              </w:rPr>
            </w:pPr>
            <w:r>
              <w:rPr>
                <w:rFonts w:hint="eastAsia"/>
                <w:color w:val="000000"/>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eastAsia="宋体" w:cs="宋体"/>
                <w:kern w:val="0"/>
                <w:szCs w:val="21"/>
              </w:rPr>
            </w:pPr>
            <w:r>
              <w:rPr>
                <w:rFonts w:hint="eastAsia" w:ascii="宋体" w:hAnsi="宋体" w:eastAsia="宋体" w:cs="宋体"/>
                <w:kern w:val="0"/>
                <w:szCs w:val="21"/>
              </w:rPr>
              <w:t>内三科 肺功能室</w:t>
            </w:r>
          </w:p>
        </w:tc>
      </w:tr>
    </w:tbl>
    <w:p>
      <w:pPr>
        <w:adjustRightInd w:val="0"/>
        <w:snapToGrid w:val="0"/>
        <w:spacing w:line="500" w:lineRule="exact"/>
        <w:ind w:firstLine="720" w:firstLineChars="300"/>
        <w:rPr>
          <w:rFonts w:ascii="宋体" w:hAnsi="宋体" w:cs="宋体"/>
          <w:color w:val="000000"/>
          <w:sz w:val="24"/>
          <w:szCs w:val="24"/>
        </w:rPr>
      </w:pPr>
      <w:r>
        <w:rPr>
          <w:rFonts w:hint="eastAsia" w:ascii="宋体" w:hAnsi="宋体" w:cs="宋体"/>
          <w:color w:val="000000"/>
          <w:sz w:val="24"/>
          <w:szCs w:val="24"/>
        </w:rPr>
        <w:t>备注：以上数量为预计配送量，实际配送数量以采购人的需求为准。</w:t>
      </w:r>
    </w:p>
    <w:p>
      <w:pPr>
        <w:widowControl/>
        <w:spacing w:line="5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三、质量要求</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1、医用氧质量符合《中华人民共和国药典 （2020年版）“氧”》的要求，其他气体符合国家相关质量标准，严禁提供假冒伪劣产品，严禁用工业氧气冒充医用氧气。</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2、 医用氧须具备省药监部门核发的有效的《药品注册批件》或《药品再注册批件》，上面标明药品通用名称：“氧”不限规格品种。</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3、高纯气体具有生产厂家的化验报告单和合格证，甲方有权每季度随机进行一次抽查送检，检测不合格的，按违约处理，检测费用由乙方承担。</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4、每批产品有与货物批号相符的质量检验报告单和合格证;产品合格证标识上应具有以下内容:产品名称、规格、生产日期、生产批号、产品数量和纯度指标(%)、执行标准代号、生产企业名称、电话等。</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服务商</w:t>
      </w:r>
      <w:r>
        <w:rPr>
          <w:rFonts w:ascii="宋体" w:hAnsi="宋体" w:cs="宋体"/>
          <w:color w:val="000000"/>
          <w:sz w:val="24"/>
          <w:szCs w:val="24"/>
        </w:rPr>
        <w:t>提供的盛装气体的钢瓶应符合国家安全质量要求，有检定合格钢印标志和检验机构出具的检验合格报告</w:t>
      </w:r>
      <w:r>
        <w:rPr>
          <w:rFonts w:hint="eastAsia" w:ascii="宋体" w:hAnsi="宋体" w:cs="宋体"/>
          <w:color w:val="000000"/>
          <w:sz w:val="24"/>
          <w:szCs w:val="24"/>
        </w:rPr>
        <w:t>，</w:t>
      </w:r>
      <w:r>
        <w:rPr>
          <w:rFonts w:ascii="宋体" w:hAnsi="宋体" w:cs="宋体"/>
          <w:color w:val="000000"/>
          <w:sz w:val="24"/>
          <w:szCs w:val="24"/>
        </w:rPr>
        <w:t>在检定合格有效期内。</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6、钢瓶的使用种类符合国家技术规范要求，是有国家钢瓶生产许可证的厂家生产的产品。</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7、钢瓶颜色和标识符合国家规定，并且标识清晰、齐全，瓶体洁净、附件完好。</w:t>
      </w:r>
    </w:p>
    <w:p>
      <w:pPr>
        <w:widowControl/>
        <w:spacing w:line="500" w:lineRule="exact"/>
        <w:jc w:val="left"/>
        <w:rPr>
          <w:rFonts w:asciiTheme="minorEastAsia" w:hAnsiTheme="minorEastAsia" w:cstheme="minorEastAsia"/>
          <w:b/>
          <w:bCs/>
          <w:kern w:val="0"/>
          <w:sz w:val="28"/>
          <w:szCs w:val="28"/>
        </w:rPr>
      </w:pPr>
    </w:p>
    <w:p>
      <w:pPr>
        <w:widowControl/>
        <w:spacing w:line="5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四、</w:t>
      </w:r>
      <w:r>
        <w:rPr>
          <w:rFonts w:hint="eastAsia" w:ascii="宋体" w:hAnsi="宋体" w:cs="宋体"/>
          <w:b/>
          <w:color w:val="000000"/>
          <w:sz w:val="28"/>
          <w:szCs w:val="28"/>
        </w:rPr>
        <w:t>服务商资质</w:t>
      </w:r>
      <w:r>
        <w:rPr>
          <w:rFonts w:hint="eastAsia" w:asciiTheme="minorEastAsia" w:hAnsiTheme="minorEastAsia" w:cstheme="minorEastAsia"/>
          <w:b/>
          <w:bCs/>
          <w:kern w:val="0"/>
          <w:sz w:val="28"/>
          <w:szCs w:val="28"/>
        </w:rPr>
        <w:t>要求</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1、服务商须具备有效的省药监部门核发的《药品生产许可证》，范围为医用氧或医用氧分装。</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2、服务商须具备省市应急管理部门核发的有效的《危险化学品生产许可证》或《危险化学品经营许可证》，许可范围包括氧、氮、二氧化碳、乙炔等。</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、服务商须具备交通运输管理部门核发的有效的《道路危险货物运输许可证》或《道路运输经营许可证》，经营范围包含本项目涉及到的危险货物运输。</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、服务商具有市场监督部门核发的有效的《移动式压力容器/气瓶充装许可证》许可范围含有“氧的压缩气体和冷冻液化气体气瓶充装”等。</w:t>
      </w:r>
    </w:p>
    <w:p>
      <w:pPr>
        <w:adjustRightInd w:val="0"/>
        <w:snapToGrid w:val="0"/>
        <w:spacing w:line="500" w:lineRule="exact"/>
        <w:rPr>
          <w:rFonts w:ascii="宋体" w:hAnsi="宋体" w:cs="宋体"/>
          <w:color w:val="000000"/>
          <w:sz w:val="24"/>
          <w:szCs w:val="24"/>
        </w:rPr>
      </w:pPr>
    </w:p>
    <w:p>
      <w:pPr>
        <w:widowControl/>
        <w:spacing w:line="5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五、配送要求</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1、气体配送车辆应持有中山市交通运输局颁发的在有效期内的中山市危险化学品运输通行证（重点车辆标识）以确保医用氧气能够及时运送到位。</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、服务商须提供全天候2</w:t>
      </w:r>
      <w:r>
        <w:rPr>
          <w:rFonts w:ascii="宋体" w:hAnsi="宋体" w:cs="宋体"/>
          <w:color w:val="000000"/>
          <w:sz w:val="24"/>
          <w:szCs w:val="24"/>
        </w:rPr>
        <w:t>4</w:t>
      </w:r>
      <w:r>
        <w:rPr>
          <w:rFonts w:hint="eastAsia" w:ascii="宋体" w:hAnsi="宋体" w:cs="宋体"/>
          <w:color w:val="000000"/>
          <w:sz w:val="24"/>
          <w:szCs w:val="24"/>
        </w:rPr>
        <w:t>小时的配送服务，不分时段、不分节假日。做到：</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.1</w:t>
      </w:r>
      <w:r>
        <w:rPr>
          <w:rFonts w:hint="eastAsia" w:ascii="宋体" w:hAnsi="宋体" w:cs="宋体"/>
          <w:color w:val="000000"/>
          <w:sz w:val="24"/>
          <w:szCs w:val="24"/>
        </w:rPr>
        <w:t>液氧的配送周期为1</w:t>
      </w:r>
      <w:r>
        <w:rPr>
          <w:rFonts w:ascii="宋体" w:hAnsi="宋体" w:cs="宋体"/>
          <w:color w:val="000000"/>
          <w:sz w:val="24"/>
          <w:szCs w:val="24"/>
        </w:rPr>
        <w:t>—</w:t>
      </w:r>
      <w:r>
        <w:rPr>
          <w:rFonts w:hint="eastAsia" w:ascii="宋体" w:hAnsi="宋体" w:cs="宋体"/>
          <w:color w:val="000000"/>
          <w:sz w:val="24"/>
          <w:szCs w:val="24"/>
        </w:rPr>
        <w:t>2天，紧急情况下的需求4小时内送达，并且 50分钟内提供瓶装氧气，保证供氧不中断。</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 xml:space="preserve">2.2 </w:t>
      </w:r>
      <w:r>
        <w:rPr>
          <w:rFonts w:hint="eastAsia" w:ascii="宋体" w:hAnsi="宋体" w:cs="宋体"/>
          <w:color w:val="000000"/>
          <w:sz w:val="24"/>
          <w:szCs w:val="24"/>
        </w:rPr>
        <w:t>4升瓶装氧气配送周期为0</w:t>
      </w:r>
      <w:r>
        <w:rPr>
          <w:rFonts w:ascii="宋体" w:hAnsi="宋体" w:cs="宋体"/>
          <w:color w:val="000000"/>
          <w:sz w:val="24"/>
          <w:szCs w:val="24"/>
        </w:rPr>
        <w:t>.5—1</w:t>
      </w:r>
      <w:r>
        <w:rPr>
          <w:rFonts w:hint="eastAsia" w:ascii="宋体" w:hAnsi="宋体" w:cs="宋体"/>
          <w:color w:val="000000"/>
          <w:sz w:val="24"/>
          <w:szCs w:val="24"/>
        </w:rPr>
        <w:t>天，上午配送到达时间8:15时前。有不限数量长期每天上、下午各配送一次的能力，紧急情况下的需求，50分钟内送达。在疫情期间和突发公共卫生事件时，具备每天配送3次的能力。</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.3</w:t>
      </w:r>
      <w:r>
        <w:rPr>
          <w:rFonts w:hint="eastAsia" w:ascii="宋体" w:hAnsi="宋体" w:cs="宋体"/>
          <w:color w:val="000000"/>
          <w:sz w:val="24"/>
          <w:szCs w:val="24"/>
        </w:rPr>
        <w:t>其他气体的配送，按需求提供不限次数，不限时间，不限数量的配送服务，接到送货通知后，按要求的时间直接送达使用科室。紧急情况下的需求，50分钟内送达。</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、服务商负责气体的运输及装卸，按采购人要求送到院内指定地点，运输过程中的一切责任、事故由中标人负全责。</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、液氧计重的地磅服务公司的选择须经采购人同意，费用由供应商支付。</w:t>
      </w:r>
    </w:p>
    <w:p>
      <w:pPr>
        <w:adjustRightInd w:val="0"/>
        <w:snapToGrid w:val="0"/>
        <w:spacing w:line="500" w:lineRule="exact"/>
        <w:rPr>
          <w:rFonts w:ascii="宋体" w:hAnsi="宋体" w:cs="宋体"/>
          <w:color w:val="000000"/>
          <w:sz w:val="24"/>
          <w:szCs w:val="24"/>
        </w:rPr>
      </w:pPr>
    </w:p>
    <w:p>
      <w:pPr>
        <w:widowControl/>
        <w:spacing w:line="5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六、供气设备服务要求</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服务商须具备相应的维修、保养能力，能及时处理低温液氧槽、供氧管道、瓶装供气设备的故障以确保医用气体供应；提供24小时电话值班服务，当供氧系统发生故障时，必须在1小时内有维修人员到达现场协助处理。</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、服务商负责对采购人的供氧中心（包括但不限于液氧罐、汇流排、管路）、供气主管道每季度进行一次维护保养，双方在维护保养记录上签名确认。需更换配件的，费用由采购人承担。</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、服务商须免费提供</w:t>
      </w:r>
      <w:r>
        <w:rPr>
          <w:rFonts w:ascii="宋体" w:hAnsi="宋体" w:cs="宋体"/>
          <w:color w:val="000000"/>
          <w:sz w:val="24"/>
          <w:szCs w:val="24"/>
        </w:rPr>
        <w:t>40L通用钢瓶给</w:t>
      </w:r>
      <w:r>
        <w:rPr>
          <w:rFonts w:hint="eastAsia" w:ascii="宋体" w:hAnsi="宋体" w:cs="宋体"/>
          <w:color w:val="000000"/>
          <w:sz w:val="24"/>
          <w:szCs w:val="24"/>
        </w:rPr>
        <w:t>采购人</w:t>
      </w:r>
      <w:r>
        <w:rPr>
          <w:rFonts w:ascii="宋体" w:hAnsi="宋体" w:cs="宋体"/>
          <w:color w:val="000000"/>
          <w:sz w:val="24"/>
          <w:szCs w:val="24"/>
        </w:rPr>
        <w:t>使用，钢瓶由服务商负责检定、维护、易损件更换，采购人不再支付任何费用。</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、采购人自有特种设备及附带的计量装置和安全装置的检定由服务商代为办理，费用由采购人支付。</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5、服务商负责为采购人制订医用气体使用和供气设备操作规程</w:t>
      </w:r>
      <w:r>
        <w:rPr>
          <w:rFonts w:ascii="宋体" w:hAnsi="宋体" w:cs="宋体"/>
          <w:color w:val="000000"/>
          <w:sz w:val="24"/>
          <w:szCs w:val="24"/>
        </w:rPr>
        <w:t>,协助</w:t>
      </w:r>
      <w:r>
        <w:rPr>
          <w:rFonts w:hint="eastAsia" w:ascii="宋体" w:hAnsi="宋体" w:cs="宋体"/>
          <w:color w:val="000000"/>
          <w:sz w:val="24"/>
          <w:szCs w:val="24"/>
        </w:rPr>
        <w:t>采购人</w:t>
      </w:r>
      <w:r>
        <w:rPr>
          <w:rFonts w:ascii="宋体" w:hAnsi="宋体" w:cs="宋体"/>
          <w:color w:val="000000"/>
          <w:sz w:val="24"/>
          <w:szCs w:val="24"/>
        </w:rPr>
        <w:t>对医用气体实行规范管理。</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6、服务商为采购人免费提供气体设备操作技术和气体安全使用、管理培训。</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7、有供气设备安装、更新、改造工程实施能力和经历，可为医院提供该方面的专业服务。</w:t>
      </w:r>
    </w:p>
    <w:p>
      <w:pPr>
        <w:adjustRightInd w:val="0"/>
        <w:snapToGrid w:val="0"/>
        <w:spacing w:line="500" w:lineRule="exact"/>
        <w:rPr>
          <w:rFonts w:ascii="宋体" w:hAnsi="宋体" w:cs="宋体"/>
          <w:color w:val="000000"/>
          <w:sz w:val="24"/>
          <w:szCs w:val="24"/>
        </w:rPr>
      </w:pPr>
    </w:p>
    <w:p>
      <w:pPr>
        <w:widowControl/>
        <w:spacing w:line="5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七、违约责任</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、采购人</w:t>
      </w:r>
      <w:r>
        <w:rPr>
          <w:rFonts w:ascii="宋体" w:hAnsi="宋体" w:cs="宋体"/>
          <w:color w:val="000000"/>
          <w:sz w:val="24"/>
          <w:szCs w:val="24"/>
        </w:rPr>
        <w:t>应在合同规定时间内，向</w:t>
      </w:r>
      <w:r>
        <w:rPr>
          <w:rFonts w:hint="eastAsia" w:ascii="宋体" w:hAnsi="宋体" w:cs="宋体"/>
          <w:color w:val="000000"/>
          <w:sz w:val="24"/>
          <w:szCs w:val="24"/>
        </w:rPr>
        <w:t>服务商</w:t>
      </w:r>
      <w:r>
        <w:rPr>
          <w:rFonts w:ascii="宋体" w:hAnsi="宋体" w:cs="宋体"/>
          <w:color w:val="000000"/>
          <w:sz w:val="24"/>
          <w:szCs w:val="24"/>
        </w:rPr>
        <w:t>支付货款，每拖延一天</w:t>
      </w:r>
      <w:r>
        <w:rPr>
          <w:rFonts w:hint="eastAsia" w:ascii="宋体" w:hAnsi="宋体" w:cs="宋体"/>
          <w:color w:val="000000"/>
          <w:sz w:val="24"/>
          <w:szCs w:val="24"/>
        </w:rPr>
        <w:t>需支付</w:t>
      </w:r>
      <w:r>
        <w:rPr>
          <w:rFonts w:ascii="宋体" w:hAnsi="宋体" w:cs="宋体"/>
          <w:color w:val="000000"/>
          <w:sz w:val="24"/>
          <w:szCs w:val="24"/>
        </w:rPr>
        <w:t>货物金额的0.3%的违约金。</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、服务商</w:t>
      </w:r>
      <w:r>
        <w:rPr>
          <w:rFonts w:ascii="宋体" w:hAnsi="宋体" w:cs="宋体"/>
          <w:color w:val="000000"/>
          <w:sz w:val="24"/>
          <w:szCs w:val="24"/>
        </w:rPr>
        <w:t>未能按时按质按量完成</w:t>
      </w:r>
      <w:r>
        <w:rPr>
          <w:rFonts w:hint="eastAsia" w:ascii="宋体" w:hAnsi="宋体" w:cs="宋体"/>
          <w:color w:val="000000"/>
          <w:sz w:val="24"/>
          <w:szCs w:val="24"/>
        </w:rPr>
        <w:t>配送服务</w:t>
      </w:r>
      <w:r>
        <w:rPr>
          <w:rFonts w:ascii="宋体" w:hAnsi="宋体" w:cs="宋体"/>
          <w:color w:val="000000"/>
          <w:sz w:val="24"/>
          <w:szCs w:val="24"/>
        </w:rPr>
        <w:t>的，每拖延一天，须向采购人支付拖欠货物金额的0.5%的违约金。服务商逾期超过二十天的，则向采购人支付拖欠货物金额的10%的违约金。超过合同规定的</w:t>
      </w:r>
      <w:r>
        <w:rPr>
          <w:rFonts w:hint="eastAsia" w:ascii="宋体" w:hAnsi="宋体" w:cs="宋体"/>
          <w:color w:val="000000"/>
          <w:sz w:val="24"/>
          <w:szCs w:val="24"/>
        </w:rPr>
        <w:t>配送</w:t>
      </w:r>
      <w:r>
        <w:rPr>
          <w:rFonts w:ascii="宋体" w:hAnsi="宋体" w:cs="宋体"/>
          <w:color w:val="000000"/>
          <w:sz w:val="24"/>
          <w:szCs w:val="24"/>
        </w:rPr>
        <w:t>时间30天以上，采购人有权单方面解除合同，由此造成的一切损失由服务商承担。</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w:t>
      </w:r>
      <w:r>
        <w:rPr>
          <w:rFonts w:ascii="宋体" w:hAnsi="宋体" w:cs="宋体"/>
          <w:color w:val="000000"/>
          <w:sz w:val="24"/>
          <w:szCs w:val="24"/>
        </w:rPr>
        <w:t>服务商</w:t>
      </w:r>
      <w:r>
        <w:rPr>
          <w:rFonts w:hint="eastAsia" w:ascii="宋体" w:hAnsi="宋体" w:cs="宋体"/>
          <w:color w:val="000000"/>
          <w:sz w:val="24"/>
          <w:szCs w:val="24"/>
        </w:rPr>
        <w:t>配送</w:t>
      </w:r>
      <w:r>
        <w:rPr>
          <w:rFonts w:ascii="宋体" w:hAnsi="宋体" w:cs="宋体"/>
          <w:color w:val="000000"/>
          <w:sz w:val="24"/>
          <w:szCs w:val="24"/>
        </w:rPr>
        <w:t>的货物不符合合同规定的，采购人有权拒收，服务商须向采购人支付该批货物金额的10%的违约金,同样情况出现累计达三次的，采购人有权单方面解除合同。</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w:t>
      </w:r>
      <w:r>
        <w:rPr>
          <w:rFonts w:ascii="宋体" w:hAnsi="宋体" w:cs="宋体"/>
          <w:color w:val="000000"/>
          <w:sz w:val="24"/>
          <w:szCs w:val="24"/>
        </w:rPr>
        <w:t>气体在充装</w:t>
      </w:r>
      <w:r>
        <w:rPr>
          <w:rFonts w:hint="eastAsia" w:ascii="宋体" w:hAnsi="宋体" w:cs="宋体"/>
          <w:color w:val="000000"/>
          <w:sz w:val="24"/>
          <w:szCs w:val="24"/>
        </w:rPr>
        <w:t>、</w:t>
      </w:r>
      <w:r>
        <w:rPr>
          <w:rFonts w:ascii="宋体" w:hAnsi="宋体" w:cs="宋体"/>
          <w:color w:val="000000"/>
          <w:sz w:val="24"/>
          <w:szCs w:val="24"/>
        </w:rPr>
        <w:t>配送，包括设备无及时保养、年审导致的事故，由此造成的一切责任和损失由服务商承担，且采购人有权单方面解除合同。</w:t>
      </w:r>
    </w:p>
    <w:p>
      <w:pPr>
        <w:adjustRightInd w:val="0"/>
        <w:snapToGrid w:val="0"/>
        <w:spacing w:line="500" w:lineRule="exact"/>
        <w:rPr>
          <w:rFonts w:ascii="宋体" w:hAns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w:t>
      </w:r>
      <w:r>
        <w:rPr>
          <w:rFonts w:ascii="宋体" w:hAnsi="宋体" w:cs="宋体"/>
          <w:color w:val="000000"/>
          <w:sz w:val="24"/>
          <w:szCs w:val="24"/>
        </w:rPr>
        <w:t>服务商提供的货物须符合国家有关安全标准，如通过验收且采购人已付货款的，服务商须退回该批货物货款，并承担因供货质量问题给采购人造成的损失，且采购人有权单方面解除合同，由此造成的一切损失由服务商承担。</w:t>
      </w:r>
    </w:p>
    <w:p>
      <w:pPr>
        <w:widowControl/>
        <w:spacing w:line="500" w:lineRule="exact"/>
        <w:jc w:val="left"/>
        <w:rPr>
          <w:rFonts w:asciiTheme="minorEastAsia" w:hAnsiTheme="minorEastAsia" w:cstheme="minorEastAsia"/>
          <w:b/>
          <w:bCs/>
          <w:kern w:val="0"/>
          <w:sz w:val="28"/>
          <w:szCs w:val="28"/>
        </w:rPr>
      </w:pPr>
    </w:p>
    <w:p>
      <w:pPr>
        <w:widowControl/>
        <w:spacing w:line="5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八、考核</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1、采购人每季度对服务商的服务质量进行考核，并按考核情况对服务商进行监督管理。</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2、考核表：</w:t>
      </w: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adjustRightInd w:val="0"/>
        <w:snapToGrid w:val="0"/>
        <w:spacing w:line="500" w:lineRule="exact"/>
        <w:rPr>
          <w:rFonts w:ascii="宋体" w:hAnsi="宋体" w:cs="宋体"/>
          <w:color w:val="000000"/>
          <w:sz w:val="24"/>
          <w:szCs w:val="24"/>
        </w:rPr>
      </w:pPr>
    </w:p>
    <w:p>
      <w:pPr>
        <w:spacing w:line="500" w:lineRule="exact"/>
        <w:ind w:left="-424" w:leftChars="-202" w:firstLine="318" w:firstLineChars="132"/>
        <w:jc w:val="center"/>
        <w:rPr>
          <w:rFonts w:ascii="宋体" w:hAnsi="宋体" w:eastAsia="宋体" w:cs="Times New Roman"/>
          <w:b/>
          <w:bCs/>
          <w:color w:val="000000"/>
          <w:kern w:val="0"/>
          <w:sz w:val="24"/>
          <w:szCs w:val="24"/>
        </w:rPr>
      </w:pPr>
      <w:r>
        <w:rPr>
          <w:rFonts w:hint="eastAsia" w:ascii="宋体" w:hAnsi="宋体" w:eastAsia="宋体" w:cs="Times New Roman"/>
          <w:b/>
          <w:bCs/>
          <w:kern w:val="0"/>
          <w:sz w:val="24"/>
          <w:szCs w:val="24"/>
        </w:rPr>
        <w:t>医用气体配送服务</w:t>
      </w:r>
      <w:r>
        <w:rPr>
          <w:rFonts w:hint="eastAsia" w:ascii="宋体" w:hAnsi="宋体" w:eastAsia="宋体" w:cs="Times New Roman"/>
          <w:b/>
          <w:bCs/>
          <w:color w:val="000000"/>
          <w:kern w:val="0"/>
          <w:sz w:val="24"/>
          <w:szCs w:val="24"/>
        </w:rPr>
        <w:t>质量季度考核表</w:t>
      </w:r>
    </w:p>
    <w:p>
      <w:pPr>
        <w:spacing w:before="100" w:beforeAutospacing="1" w:line="500" w:lineRule="exact"/>
        <w:ind w:firstLine="540" w:firstLineChars="300"/>
        <w:jc w:val="left"/>
        <w:rPr>
          <w:rFonts w:ascii="宋体" w:hAnsi="宋体" w:eastAsia="宋体" w:cs="Times New Roman"/>
          <w:kern w:val="0"/>
          <w:sz w:val="18"/>
          <w:szCs w:val="18"/>
        </w:rPr>
      </w:pPr>
      <w:r>
        <w:rPr>
          <w:rFonts w:hint="eastAsia" w:ascii="宋体" w:hAnsi="宋体" w:eastAsia="宋体" w:cs="Times New Roman"/>
          <w:kern w:val="0"/>
          <w:sz w:val="18"/>
          <w:szCs w:val="18"/>
        </w:rPr>
        <w:t xml:space="preserve">配送单位：                            考评时间:      年   季度   </w:t>
      </w:r>
    </w:p>
    <w:tbl>
      <w:tblPr>
        <w:tblStyle w:val="9"/>
        <w:tblW w:w="8931" w:type="dxa"/>
        <w:tblInd w:w="-176" w:type="dxa"/>
        <w:tblLayout w:type="fixed"/>
        <w:tblCellMar>
          <w:top w:w="0" w:type="dxa"/>
          <w:left w:w="108" w:type="dxa"/>
          <w:bottom w:w="0" w:type="dxa"/>
          <w:right w:w="108" w:type="dxa"/>
        </w:tblCellMar>
      </w:tblPr>
      <w:tblGrid>
        <w:gridCol w:w="993"/>
        <w:gridCol w:w="992"/>
        <w:gridCol w:w="2835"/>
        <w:gridCol w:w="709"/>
        <w:gridCol w:w="1701"/>
        <w:gridCol w:w="992"/>
        <w:gridCol w:w="709"/>
      </w:tblGrid>
      <w:tr>
        <w:tblPrEx>
          <w:tblCellMar>
            <w:top w:w="0" w:type="dxa"/>
            <w:left w:w="108" w:type="dxa"/>
            <w:bottom w:w="0" w:type="dxa"/>
            <w:right w:w="108" w:type="dxa"/>
          </w:tblCellMar>
        </w:tblPrEx>
        <w:trPr>
          <w:trHeight w:val="450" w:hRule="atLeast"/>
        </w:trPr>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考核项目</w:t>
            </w:r>
          </w:p>
        </w:tc>
        <w:tc>
          <w:tcPr>
            <w:tcW w:w="2835"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考核内容</w:t>
            </w:r>
          </w:p>
        </w:tc>
        <w:tc>
          <w:tcPr>
            <w:tcW w:w="709"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分值</w:t>
            </w:r>
          </w:p>
        </w:tc>
        <w:tc>
          <w:tcPr>
            <w:tcW w:w="1701"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扣分标准</w:t>
            </w:r>
          </w:p>
        </w:tc>
        <w:tc>
          <w:tcPr>
            <w:tcW w:w="992"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扣分说明</w:t>
            </w:r>
          </w:p>
        </w:tc>
        <w:tc>
          <w:tcPr>
            <w:tcW w:w="709"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得分</w:t>
            </w:r>
          </w:p>
        </w:tc>
      </w:tr>
      <w:tr>
        <w:tblPrEx>
          <w:tblCellMar>
            <w:top w:w="0" w:type="dxa"/>
            <w:left w:w="108" w:type="dxa"/>
            <w:bottom w:w="0" w:type="dxa"/>
            <w:right w:w="108" w:type="dxa"/>
          </w:tblCellMar>
        </w:tblPrEx>
        <w:trPr>
          <w:trHeight w:val="1380" w:hRule="atLeast"/>
        </w:trPr>
        <w:tc>
          <w:tcPr>
            <w:tcW w:w="993" w:type="dxa"/>
            <w:vMerge w:val="restart"/>
            <w:tcBorders>
              <w:top w:val="nil"/>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服务质量及合同履行情况</w:t>
            </w:r>
          </w:p>
        </w:tc>
        <w:tc>
          <w:tcPr>
            <w:tcW w:w="992" w:type="dxa"/>
            <w:vMerge w:val="restart"/>
            <w:tcBorders>
              <w:top w:val="nil"/>
              <w:left w:val="nil"/>
              <w:bottom w:val="single" w:color="auto" w:sz="4" w:space="0"/>
              <w:right w:val="single" w:color="auto" w:sz="4" w:space="0"/>
            </w:tcBorders>
            <w:vAlign w:val="center"/>
          </w:tcPr>
          <w:p>
            <w:r>
              <w:rPr>
                <w:rFonts w:hint="eastAsia"/>
              </w:rPr>
              <w:t>服务响应速度</w:t>
            </w:r>
          </w:p>
        </w:tc>
        <w:tc>
          <w:tcPr>
            <w:tcW w:w="2835" w:type="dxa"/>
            <w:tcBorders>
              <w:top w:val="nil"/>
              <w:left w:val="nil"/>
              <w:bottom w:val="single" w:color="auto" w:sz="4" w:space="0"/>
              <w:right w:val="single" w:color="auto" w:sz="4" w:space="0"/>
            </w:tcBorders>
            <w:vAlign w:val="center"/>
          </w:tcPr>
          <w:p>
            <w:r>
              <w:rPr>
                <w:rFonts w:hint="eastAsia"/>
              </w:rPr>
              <w:t>货物配送响应及时迅速，紧急情况下,液氧的配送时间不超过</w:t>
            </w:r>
            <w:r>
              <w:t>4</w:t>
            </w:r>
            <w:r>
              <w:rPr>
                <w:rFonts w:hint="eastAsia"/>
              </w:rPr>
              <w:t>小时，其他气体的配送时间不超过</w:t>
            </w:r>
            <w:r>
              <w:t>1.5</w:t>
            </w:r>
            <w:r>
              <w:rPr>
                <w:rFonts w:hint="eastAsia"/>
              </w:rPr>
              <w:t>小时。</w:t>
            </w:r>
          </w:p>
        </w:tc>
        <w:tc>
          <w:tcPr>
            <w:tcW w:w="709" w:type="dxa"/>
            <w:tcBorders>
              <w:top w:val="nil"/>
              <w:left w:val="nil"/>
              <w:bottom w:val="single" w:color="auto" w:sz="4" w:space="0"/>
              <w:right w:val="single" w:color="auto" w:sz="4" w:space="0"/>
            </w:tcBorders>
            <w:vAlign w:val="center"/>
          </w:tcPr>
          <w:p>
            <w:r>
              <w:rPr>
                <w:rFonts w:hint="eastAsia"/>
              </w:rPr>
              <w:t xml:space="preserve">       20分      </w:t>
            </w:r>
          </w:p>
        </w:tc>
        <w:tc>
          <w:tcPr>
            <w:tcW w:w="1701" w:type="dxa"/>
            <w:tcBorders>
              <w:top w:val="nil"/>
              <w:left w:val="nil"/>
              <w:bottom w:val="single" w:color="auto" w:sz="4" w:space="0"/>
              <w:right w:val="single" w:color="auto" w:sz="4" w:space="0"/>
            </w:tcBorders>
            <w:vAlign w:val="center"/>
          </w:tcPr>
          <w:p>
            <w:r>
              <w:rPr>
                <w:rFonts w:hint="eastAsia"/>
              </w:rPr>
              <w:t>未经甲方同意，超出配送时间限制的，每次扣5分</w:t>
            </w:r>
          </w:p>
        </w:tc>
        <w:tc>
          <w:tcPr>
            <w:tcW w:w="992" w:type="dxa"/>
            <w:tcBorders>
              <w:top w:val="nil"/>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c>
          <w:tcPr>
            <w:tcW w:w="709" w:type="dxa"/>
            <w:tcBorders>
              <w:top w:val="nil"/>
              <w:left w:val="nil"/>
              <w:bottom w:val="single" w:color="auto" w:sz="4" w:space="0"/>
              <w:right w:val="single" w:color="auto" w:sz="4" w:space="0"/>
            </w:tcBorders>
            <w:vAlign w:val="center"/>
          </w:tcPr>
          <w:p>
            <w:pPr>
              <w:spacing w:line="500" w:lineRule="exact"/>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r>
      <w:tr>
        <w:tblPrEx>
          <w:tblCellMar>
            <w:top w:w="0" w:type="dxa"/>
            <w:left w:w="108" w:type="dxa"/>
            <w:bottom w:w="0" w:type="dxa"/>
            <w:right w:w="108" w:type="dxa"/>
          </w:tblCellMar>
        </w:tblPrEx>
        <w:trPr>
          <w:trHeight w:val="1009" w:hRule="atLeast"/>
        </w:trPr>
        <w:tc>
          <w:tcPr>
            <w:tcW w:w="8931"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eastAsia="宋体" w:cs="Times New Roman"/>
                <w:color w:val="000000"/>
                <w:kern w:val="0"/>
                <w:sz w:val="18"/>
                <w:szCs w:val="18"/>
              </w:rPr>
            </w:pPr>
          </w:p>
        </w:tc>
        <w:tc>
          <w:tcPr>
            <w:tcW w:w="992" w:type="dxa"/>
            <w:vMerge w:val="continue"/>
            <w:tcBorders>
              <w:top w:val="nil"/>
              <w:left w:val="nil"/>
              <w:bottom w:val="single" w:color="auto" w:sz="4" w:space="0"/>
              <w:right w:val="single" w:color="auto" w:sz="4" w:space="0"/>
            </w:tcBorders>
            <w:vAlign w:val="center"/>
          </w:tcPr>
          <w:p/>
        </w:tc>
        <w:tc>
          <w:tcPr>
            <w:tcW w:w="2835" w:type="dxa"/>
            <w:tcBorders>
              <w:top w:val="nil"/>
              <w:left w:val="nil"/>
              <w:bottom w:val="single" w:color="auto" w:sz="4" w:space="0"/>
              <w:right w:val="single" w:color="auto" w:sz="4" w:space="0"/>
            </w:tcBorders>
            <w:vAlign w:val="center"/>
          </w:tcPr>
          <w:p>
            <w:r>
              <w:rPr>
                <w:rFonts w:hint="eastAsia"/>
              </w:rPr>
              <w:t>接到故障通知后1小时内安排专业人员到达现场排除故障，确保甲方医用气体的正常供应。</w:t>
            </w:r>
          </w:p>
        </w:tc>
        <w:tc>
          <w:tcPr>
            <w:tcW w:w="709" w:type="dxa"/>
            <w:tcBorders>
              <w:top w:val="nil"/>
              <w:left w:val="nil"/>
              <w:bottom w:val="single" w:color="auto" w:sz="4" w:space="0"/>
              <w:right w:val="single" w:color="auto" w:sz="4" w:space="0"/>
            </w:tcBorders>
            <w:vAlign w:val="center"/>
          </w:tcPr>
          <w:p>
            <w:r>
              <w:rPr>
                <w:rFonts w:hint="eastAsia"/>
              </w:rPr>
              <w:t xml:space="preserve">20分            </w:t>
            </w:r>
          </w:p>
        </w:tc>
        <w:tc>
          <w:tcPr>
            <w:tcW w:w="1701" w:type="dxa"/>
            <w:tcBorders>
              <w:top w:val="nil"/>
              <w:left w:val="nil"/>
              <w:bottom w:val="single" w:color="auto" w:sz="4" w:space="0"/>
              <w:right w:val="single" w:color="auto" w:sz="4" w:space="0"/>
            </w:tcBorders>
            <w:vAlign w:val="center"/>
          </w:tcPr>
          <w:p>
            <w:r>
              <w:rPr>
                <w:rFonts w:hint="eastAsia"/>
              </w:rPr>
              <w:t>超时每次扣5分</w:t>
            </w:r>
          </w:p>
        </w:tc>
        <w:tc>
          <w:tcPr>
            <w:tcW w:w="992" w:type="dxa"/>
            <w:tcBorders>
              <w:top w:val="nil"/>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c>
          <w:tcPr>
            <w:tcW w:w="709" w:type="dxa"/>
            <w:tcBorders>
              <w:top w:val="nil"/>
              <w:left w:val="nil"/>
              <w:bottom w:val="single" w:color="auto" w:sz="4" w:space="0"/>
              <w:right w:val="single" w:color="auto" w:sz="4" w:space="0"/>
            </w:tcBorders>
            <w:vAlign w:val="center"/>
          </w:tcPr>
          <w:p>
            <w:pPr>
              <w:spacing w:line="500" w:lineRule="exact"/>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r>
      <w:tr>
        <w:tblPrEx>
          <w:tblCellMar>
            <w:top w:w="0" w:type="dxa"/>
            <w:left w:w="108" w:type="dxa"/>
            <w:bottom w:w="0" w:type="dxa"/>
            <w:right w:w="108" w:type="dxa"/>
          </w:tblCellMar>
        </w:tblPrEx>
        <w:trPr>
          <w:trHeight w:val="2010" w:hRule="atLeast"/>
        </w:trPr>
        <w:tc>
          <w:tcPr>
            <w:tcW w:w="8931"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eastAsia="宋体" w:cs="Times New Roman"/>
                <w:color w:val="000000"/>
                <w:kern w:val="0"/>
                <w:sz w:val="18"/>
                <w:szCs w:val="18"/>
              </w:rPr>
            </w:pPr>
          </w:p>
        </w:tc>
        <w:tc>
          <w:tcPr>
            <w:tcW w:w="992" w:type="dxa"/>
            <w:vMerge w:val="restart"/>
            <w:tcBorders>
              <w:top w:val="nil"/>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维保情况</w:t>
            </w:r>
          </w:p>
        </w:tc>
        <w:tc>
          <w:tcPr>
            <w:tcW w:w="2835" w:type="dxa"/>
            <w:tcBorders>
              <w:top w:val="nil"/>
              <w:left w:val="nil"/>
              <w:bottom w:val="single" w:color="auto" w:sz="4" w:space="0"/>
              <w:right w:val="single" w:color="auto" w:sz="4" w:space="0"/>
            </w:tcBorders>
            <w:vAlign w:val="center"/>
          </w:tcPr>
          <w:p>
            <w:r>
              <w:rPr>
                <w:rFonts w:hint="eastAsia"/>
              </w:rPr>
              <w:t>对甲方的供氧中心（包括但不限于液氧罐、汇流排、管道）、供气主管道进行每季度一次的维护保养，存在故障或安全隐患时应及时向甲方报告，指导甲方人员进行正确的维护,保养工作。</w:t>
            </w:r>
          </w:p>
        </w:tc>
        <w:tc>
          <w:tcPr>
            <w:tcW w:w="709" w:type="dxa"/>
            <w:tcBorders>
              <w:top w:val="nil"/>
              <w:left w:val="nil"/>
              <w:bottom w:val="single" w:color="auto" w:sz="4" w:space="0"/>
              <w:right w:val="single" w:color="auto" w:sz="4" w:space="0"/>
            </w:tcBorders>
            <w:vAlign w:val="center"/>
          </w:tcPr>
          <w:p>
            <w:r>
              <w:rPr>
                <w:rFonts w:hint="eastAsia"/>
              </w:rPr>
              <w:t xml:space="preserve">        20分         </w:t>
            </w:r>
          </w:p>
        </w:tc>
        <w:tc>
          <w:tcPr>
            <w:tcW w:w="1701" w:type="dxa"/>
            <w:tcBorders>
              <w:top w:val="nil"/>
              <w:left w:val="nil"/>
              <w:bottom w:val="single" w:color="auto" w:sz="4" w:space="0"/>
              <w:right w:val="single" w:color="auto" w:sz="4" w:space="0"/>
            </w:tcBorders>
            <w:vAlign w:val="center"/>
          </w:tcPr>
          <w:p>
            <w:r>
              <w:rPr>
                <w:rFonts w:hint="eastAsia"/>
              </w:rPr>
              <w:t>没按时维保或没及时汇报存在故障、安全隐患的，每次扣10分</w:t>
            </w:r>
          </w:p>
        </w:tc>
        <w:tc>
          <w:tcPr>
            <w:tcW w:w="992" w:type="dxa"/>
            <w:tcBorders>
              <w:top w:val="nil"/>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c>
          <w:tcPr>
            <w:tcW w:w="709" w:type="dxa"/>
            <w:tcBorders>
              <w:top w:val="nil"/>
              <w:left w:val="nil"/>
              <w:bottom w:val="single" w:color="auto" w:sz="4" w:space="0"/>
              <w:right w:val="single" w:color="auto" w:sz="4" w:space="0"/>
            </w:tcBorders>
            <w:vAlign w:val="center"/>
          </w:tcPr>
          <w:p>
            <w:pPr>
              <w:spacing w:line="500" w:lineRule="exact"/>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r>
      <w:tr>
        <w:tblPrEx>
          <w:tblCellMar>
            <w:top w:w="0" w:type="dxa"/>
            <w:left w:w="108" w:type="dxa"/>
            <w:bottom w:w="0" w:type="dxa"/>
            <w:right w:w="108" w:type="dxa"/>
          </w:tblCellMar>
        </w:tblPrEx>
        <w:trPr>
          <w:trHeight w:val="1035" w:hRule="atLeast"/>
        </w:trPr>
        <w:tc>
          <w:tcPr>
            <w:tcW w:w="8931"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eastAsia="宋体" w:cs="Times New Roman"/>
                <w:color w:val="000000"/>
                <w:kern w:val="0"/>
                <w:sz w:val="18"/>
                <w:szCs w:val="18"/>
              </w:rPr>
            </w:pPr>
          </w:p>
        </w:tc>
        <w:tc>
          <w:tcPr>
            <w:tcW w:w="992" w:type="dxa"/>
            <w:vMerge w:val="continue"/>
            <w:tcBorders>
              <w:top w:val="nil"/>
              <w:left w:val="nil"/>
              <w:bottom w:val="single" w:color="auto" w:sz="4" w:space="0"/>
              <w:right w:val="single" w:color="auto" w:sz="4" w:space="0"/>
            </w:tcBorders>
            <w:vAlign w:val="center"/>
          </w:tcPr>
          <w:p>
            <w:pPr>
              <w:widowControl/>
              <w:spacing w:line="500" w:lineRule="exact"/>
              <w:jc w:val="left"/>
              <w:rPr>
                <w:rFonts w:ascii="宋体" w:hAnsi="宋体" w:eastAsia="宋体" w:cs="Times New Roman"/>
                <w:color w:val="000000"/>
                <w:kern w:val="0"/>
                <w:sz w:val="18"/>
                <w:szCs w:val="18"/>
              </w:rPr>
            </w:pPr>
          </w:p>
        </w:tc>
        <w:tc>
          <w:tcPr>
            <w:tcW w:w="2835" w:type="dxa"/>
            <w:tcBorders>
              <w:top w:val="nil"/>
              <w:left w:val="nil"/>
              <w:bottom w:val="single" w:color="auto" w:sz="4" w:space="0"/>
              <w:right w:val="single" w:color="auto" w:sz="4" w:space="0"/>
            </w:tcBorders>
            <w:vAlign w:val="center"/>
          </w:tcPr>
          <w:p>
            <w:r>
              <w:rPr>
                <w:rFonts w:hint="eastAsia"/>
              </w:rPr>
              <w:t>设备故障能修即修，需更换配件的，提供故障情况说明与处理方案。</w:t>
            </w:r>
          </w:p>
        </w:tc>
        <w:tc>
          <w:tcPr>
            <w:tcW w:w="709" w:type="dxa"/>
            <w:tcBorders>
              <w:top w:val="nil"/>
              <w:left w:val="nil"/>
              <w:bottom w:val="single" w:color="auto" w:sz="4" w:space="0"/>
              <w:right w:val="single" w:color="auto" w:sz="4" w:space="0"/>
            </w:tcBorders>
            <w:vAlign w:val="center"/>
          </w:tcPr>
          <w:p>
            <w:r>
              <w:rPr>
                <w:rFonts w:hint="eastAsia"/>
              </w:rPr>
              <w:t xml:space="preserve">10分         </w:t>
            </w:r>
          </w:p>
        </w:tc>
        <w:tc>
          <w:tcPr>
            <w:tcW w:w="1701" w:type="dxa"/>
            <w:tcBorders>
              <w:top w:val="nil"/>
              <w:left w:val="nil"/>
              <w:bottom w:val="single" w:color="auto" w:sz="4" w:space="0"/>
              <w:right w:val="single" w:color="auto" w:sz="4" w:space="0"/>
            </w:tcBorders>
            <w:vAlign w:val="center"/>
          </w:tcPr>
          <w:p>
            <w:r>
              <w:rPr>
                <w:rFonts w:hint="eastAsia"/>
              </w:rPr>
              <w:t>更换配件未经甲方同意的，每次扣5分</w:t>
            </w:r>
          </w:p>
        </w:tc>
        <w:tc>
          <w:tcPr>
            <w:tcW w:w="992" w:type="dxa"/>
            <w:tcBorders>
              <w:top w:val="nil"/>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c>
          <w:tcPr>
            <w:tcW w:w="709" w:type="dxa"/>
            <w:tcBorders>
              <w:top w:val="nil"/>
              <w:left w:val="nil"/>
              <w:bottom w:val="single" w:color="auto" w:sz="4" w:space="0"/>
              <w:right w:val="single" w:color="auto" w:sz="4" w:space="0"/>
            </w:tcBorders>
            <w:vAlign w:val="center"/>
          </w:tcPr>
          <w:p>
            <w:pPr>
              <w:spacing w:line="500" w:lineRule="exact"/>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r>
      <w:tr>
        <w:tblPrEx>
          <w:tblCellMar>
            <w:top w:w="0" w:type="dxa"/>
            <w:left w:w="108" w:type="dxa"/>
            <w:bottom w:w="0" w:type="dxa"/>
            <w:right w:w="108" w:type="dxa"/>
          </w:tblCellMar>
        </w:tblPrEx>
        <w:trPr>
          <w:trHeight w:val="735" w:hRule="atLeast"/>
        </w:trPr>
        <w:tc>
          <w:tcPr>
            <w:tcW w:w="8931"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eastAsia="宋体" w:cs="Times New Roman"/>
                <w:color w:val="000000"/>
                <w:kern w:val="0"/>
                <w:sz w:val="18"/>
                <w:szCs w:val="18"/>
              </w:rPr>
            </w:pPr>
          </w:p>
        </w:tc>
        <w:tc>
          <w:tcPr>
            <w:tcW w:w="992" w:type="dxa"/>
            <w:tcBorders>
              <w:top w:val="nil"/>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服务评价</w:t>
            </w:r>
          </w:p>
        </w:tc>
        <w:tc>
          <w:tcPr>
            <w:tcW w:w="2835" w:type="dxa"/>
            <w:tcBorders>
              <w:top w:val="nil"/>
              <w:left w:val="nil"/>
              <w:bottom w:val="single" w:color="auto" w:sz="4" w:space="0"/>
              <w:right w:val="single" w:color="auto" w:sz="4" w:space="0"/>
            </w:tcBorders>
            <w:vAlign w:val="center"/>
          </w:tcPr>
          <w:p>
            <w:r>
              <w:rPr>
                <w:rFonts w:hint="eastAsia"/>
              </w:rPr>
              <w:t>服务态度良好；对货物质量、配送、服务等出现投诉，经调查后确定是否为有效投诉。</w:t>
            </w:r>
          </w:p>
        </w:tc>
        <w:tc>
          <w:tcPr>
            <w:tcW w:w="709" w:type="dxa"/>
            <w:tcBorders>
              <w:top w:val="nil"/>
              <w:left w:val="nil"/>
              <w:bottom w:val="single" w:color="auto" w:sz="4" w:space="0"/>
              <w:right w:val="single" w:color="auto" w:sz="4" w:space="0"/>
            </w:tcBorders>
            <w:vAlign w:val="center"/>
          </w:tcPr>
          <w:p>
            <w:r>
              <w:rPr>
                <w:rFonts w:hint="eastAsia"/>
              </w:rPr>
              <w:t xml:space="preserve">15分      </w:t>
            </w:r>
          </w:p>
        </w:tc>
        <w:tc>
          <w:tcPr>
            <w:tcW w:w="1701" w:type="dxa"/>
            <w:tcBorders>
              <w:top w:val="nil"/>
              <w:left w:val="nil"/>
              <w:bottom w:val="single" w:color="auto" w:sz="4" w:space="0"/>
              <w:right w:val="single" w:color="auto" w:sz="4" w:space="0"/>
            </w:tcBorders>
            <w:vAlign w:val="center"/>
          </w:tcPr>
          <w:p>
            <w:r>
              <w:rPr>
                <w:rFonts w:hint="eastAsia"/>
              </w:rPr>
              <w:t>有效投诉，每次扣5分</w:t>
            </w:r>
          </w:p>
        </w:tc>
        <w:tc>
          <w:tcPr>
            <w:tcW w:w="992" w:type="dxa"/>
            <w:tcBorders>
              <w:top w:val="nil"/>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c>
          <w:tcPr>
            <w:tcW w:w="709" w:type="dxa"/>
            <w:tcBorders>
              <w:top w:val="nil"/>
              <w:left w:val="nil"/>
              <w:bottom w:val="single" w:color="auto" w:sz="4" w:space="0"/>
              <w:right w:val="single" w:color="auto" w:sz="4" w:space="0"/>
            </w:tcBorders>
            <w:vAlign w:val="center"/>
          </w:tcPr>
          <w:p>
            <w:pPr>
              <w:spacing w:line="500" w:lineRule="exact"/>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r>
      <w:tr>
        <w:tblPrEx>
          <w:tblCellMar>
            <w:top w:w="0" w:type="dxa"/>
            <w:left w:w="108" w:type="dxa"/>
            <w:bottom w:w="0" w:type="dxa"/>
            <w:right w:w="108" w:type="dxa"/>
          </w:tblCellMar>
        </w:tblPrEx>
        <w:trPr>
          <w:trHeight w:val="705" w:hRule="atLeast"/>
        </w:trPr>
        <w:tc>
          <w:tcPr>
            <w:tcW w:w="8931"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eastAsia="宋体" w:cs="Times New Roman"/>
                <w:color w:val="000000"/>
                <w:kern w:val="0"/>
                <w:sz w:val="18"/>
                <w:szCs w:val="18"/>
              </w:rPr>
            </w:pPr>
          </w:p>
        </w:tc>
        <w:tc>
          <w:tcPr>
            <w:tcW w:w="992" w:type="dxa"/>
            <w:tcBorders>
              <w:top w:val="nil"/>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持续改进情况</w:t>
            </w:r>
          </w:p>
        </w:tc>
        <w:tc>
          <w:tcPr>
            <w:tcW w:w="2835" w:type="dxa"/>
            <w:tcBorders>
              <w:top w:val="nil"/>
              <w:left w:val="nil"/>
              <w:bottom w:val="single" w:color="auto" w:sz="4" w:space="0"/>
              <w:right w:val="single" w:color="auto" w:sz="4" w:space="0"/>
            </w:tcBorders>
            <w:vAlign w:val="center"/>
          </w:tcPr>
          <w:p>
            <w:r>
              <w:rPr>
                <w:rFonts w:hint="eastAsia"/>
              </w:rPr>
              <w:t>甲方要求整改事项在规定限期内整改完毕。</w:t>
            </w:r>
          </w:p>
        </w:tc>
        <w:tc>
          <w:tcPr>
            <w:tcW w:w="709" w:type="dxa"/>
            <w:tcBorders>
              <w:top w:val="nil"/>
              <w:left w:val="nil"/>
              <w:bottom w:val="single" w:color="auto" w:sz="4" w:space="0"/>
              <w:right w:val="single" w:color="auto" w:sz="4" w:space="0"/>
            </w:tcBorders>
            <w:vAlign w:val="center"/>
          </w:tcPr>
          <w:p>
            <w:r>
              <w:rPr>
                <w:rFonts w:hint="eastAsia"/>
              </w:rPr>
              <w:t xml:space="preserve">15分        </w:t>
            </w:r>
          </w:p>
        </w:tc>
        <w:tc>
          <w:tcPr>
            <w:tcW w:w="1701" w:type="dxa"/>
            <w:tcBorders>
              <w:top w:val="nil"/>
              <w:left w:val="nil"/>
              <w:bottom w:val="single" w:color="auto" w:sz="4" w:space="0"/>
              <w:right w:val="single" w:color="auto" w:sz="4" w:space="0"/>
            </w:tcBorders>
            <w:vAlign w:val="center"/>
          </w:tcPr>
          <w:p>
            <w:r>
              <w:rPr>
                <w:rFonts w:hint="eastAsia"/>
              </w:rPr>
              <w:t>超出规定期限整改的，每次扣5分</w:t>
            </w:r>
          </w:p>
        </w:tc>
        <w:tc>
          <w:tcPr>
            <w:tcW w:w="992" w:type="dxa"/>
            <w:tcBorders>
              <w:top w:val="nil"/>
              <w:left w:val="nil"/>
              <w:bottom w:val="single" w:color="auto" w:sz="4" w:space="0"/>
              <w:right w:val="single" w:color="auto"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c>
          <w:tcPr>
            <w:tcW w:w="709" w:type="dxa"/>
            <w:tcBorders>
              <w:top w:val="nil"/>
              <w:left w:val="nil"/>
              <w:bottom w:val="single" w:color="auto" w:sz="4" w:space="0"/>
              <w:right w:val="single" w:color="auto" w:sz="4" w:space="0"/>
            </w:tcBorders>
            <w:vAlign w:val="center"/>
          </w:tcPr>
          <w:p>
            <w:pPr>
              <w:spacing w:line="500" w:lineRule="exact"/>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w:t>
            </w:r>
          </w:p>
        </w:tc>
      </w:tr>
      <w:tr>
        <w:tblPrEx>
          <w:tblCellMar>
            <w:top w:w="0" w:type="dxa"/>
            <w:left w:w="108" w:type="dxa"/>
            <w:bottom w:w="0" w:type="dxa"/>
            <w:right w:w="108" w:type="dxa"/>
          </w:tblCellMar>
        </w:tblPrEx>
        <w:trPr>
          <w:trHeight w:val="480" w:hRule="atLeast"/>
        </w:trPr>
        <w:tc>
          <w:tcPr>
            <w:tcW w:w="8931" w:type="dxa"/>
            <w:gridSpan w:val="7"/>
            <w:tcBorders>
              <w:top w:val="single" w:color="auto" w:sz="4" w:space="0"/>
              <w:left w:val="single" w:color="auto" w:sz="4" w:space="0"/>
              <w:bottom w:val="single" w:color="auto" w:sz="4" w:space="0"/>
              <w:right w:val="single" w:color="000000" w:sz="4" w:space="0"/>
            </w:tcBorders>
            <w:vAlign w:val="center"/>
          </w:tcPr>
          <w:p>
            <w:pPr>
              <w:spacing w:line="500" w:lineRule="exact"/>
              <w:jc w:val="center"/>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rPr>
              <w:t xml:space="preserve">   总分：100分                                      本季度得分：</w:t>
            </w:r>
            <w:r>
              <w:rPr>
                <w:rFonts w:hint="eastAsia" w:ascii="宋体" w:hAnsi="宋体" w:eastAsia="宋体" w:cs="Times New Roman"/>
                <w:color w:val="000000"/>
                <w:kern w:val="0"/>
                <w:sz w:val="18"/>
                <w:szCs w:val="18"/>
                <w:u w:val="single"/>
              </w:rPr>
              <w:t xml:space="preserve">     </w:t>
            </w:r>
            <w:r>
              <w:rPr>
                <w:rFonts w:hint="eastAsia" w:ascii="宋体" w:hAnsi="宋体" w:eastAsia="宋体" w:cs="Times New Roman"/>
                <w:color w:val="000000"/>
                <w:kern w:val="0"/>
                <w:sz w:val="18"/>
                <w:szCs w:val="18"/>
              </w:rPr>
              <w:t>分</w:t>
            </w:r>
          </w:p>
        </w:tc>
      </w:tr>
    </w:tbl>
    <w:p>
      <w:r>
        <w:rPr>
          <w:rFonts w:hint="eastAsia"/>
        </w:rPr>
        <w:t>备注：</w:t>
      </w:r>
    </w:p>
    <w:p>
      <w:pPr>
        <w:rPr>
          <w:szCs w:val="21"/>
        </w:rPr>
      </w:pPr>
      <w:r>
        <w:rPr>
          <w:rFonts w:hint="eastAsia"/>
        </w:rPr>
        <w:t xml:space="preserve">   </w:t>
      </w:r>
      <w:r>
        <w:rPr>
          <w:rFonts w:hint="eastAsia"/>
          <w:szCs w:val="21"/>
        </w:rPr>
        <w:t>1.甲方对乙方每季度进行服务质量考核，季度考核评分100为满分，综合评分达90分或以上为合格；乙方考评分当季度≥80分而&lt;90分的，每少1分扣800元；乙方考评分当月≥70分而&lt;80分的，每少1分扣1000元。上述扣款甲方有权在支付给乙方的应付货款中直接扣减。</w:t>
      </w:r>
    </w:p>
    <w:p>
      <w:pPr>
        <w:rPr>
          <w:szCs w:val="21"/>
        </w:rPr>
      </w:pPr>
      <w:r>
        <w:rPr>
          <w:rFonts w:hint="eastAsia"/>
          <w:szCs w:val="21"/>
        </w:rPr>
        <w:t xml:space="preserve">   2.乙方季度考核累计不合格次数达3次的，甲方有权单方面解除合同。</w:t>
      </w:r>
    </w:p>
    <w:p>
      <w:pPr>
        <w:rPr>
          <w:szCs w:val="21"/>
        </w:rPr>
      </w:pPr>
      <w:r>
        <w:rPr>
          <w:rFonts w:hint="eastAsia"/>
          <w:szCs w:val="21"/>
        </w:rPr>
        <w:t xml:space="preserve">   3.如当季度考核分数低于90分（不含90分）的，甲方有权要求乙方在10日内无条件整改，如乙方拒不整改或整改后仍不符合甲方要求的，则甲方有权单方解除本合同。</w:t>
      </w:r>
    </w:p>
    <w:p>
      <w:pPr>
        <w:rPr>
          <w:szCs w:val="21"/>
        </w:rPr>
      </w:pPr>
      <w:r>
        <w:rPr>
          <w:rFonts w:hint="eastAsia"/>
          <w:szCs w:val="21"/>
        </w:rPr>
        <w:t xml:space="preserve"> </w:t>
      </w:r>
    </w:p>
    <w:p>
      <w:pPr>
        <w:rPr>
          <w:szCs w:val="21"/>
        </w:rPr>
      </w:pPr>
      <w:r>
        <w:rPr>
          <w:rFonts w:hint="eastAsia"/>
          <w:szCs w:val="21"/>
        </w:rPr>
        <w:t xml:space="preserve">        甲方确认：                                       乙方确认：</w:t>
      </w:r>
    </w:p>
    <w:p>
      <w:pPr>
        <w:rPr>
          <w:color w:val="000000"/>
          <w:szCs w:val="21"/>
        </w:rPr>
      </w:pPr>
      <w:r>
        <w:rPr>
          <w:rFonts w:hint="eastAsia"/>
          <w:color w:val="000000"/>
          <w:szCs w:val="21"/>
          <w:u w:val="single"/>
        </w:rPr>
        <w:t xml:space="preserve">     </w:t>
      </w:r>
      <w:r>
        <w:rPr>
          <w:rFonts w:hint="eastAsia"/>
          <w:color w:val="000000"/>
          <w:szCs w:val="21"/>
        </w:rPr>
        <w:t>年</w:t>
      </w:r>
      <w:r>
        <w:rPr>
          <w:rFonts w:hint="eastAsia"/>
          <w:szCs w:val="21"/>
          <w:u w:val="single"/>
        </w:rPr>
        <w:t xml:space="preserve">    </w:t>
      </w:r>
      <w:r>
        <w:rPr>
          <w:rFonts w:hint="eastAsia"/>
          <w:color w:val="000000"/>
          <w:szCs w:val="21"/>
        </w:rPr>
        <w:t>月</w:t>
      </w:r>
      <w:r>
        <w:rPr>
          <w:rFonts w:hint="eastAsia"/>
          <w:szCs w:val="21"/>
          <w:u w:val="single"/>
        </w:rPr>
        <w:t xml:space="preserve">    </w:t>
      </w:r>
      <w:r>
        <w:rPr>
          <w:rFonts w:hint="eastAsia"/>
          <w:color w:val="000000"/>
          <w:szCs w:val="21"/>
        </w:rPr>
        <w:t xml:space="preserve">日                              </w:t>
      </w:r>
      <w:r>
        <w:rPr>
          <w:rFonts w:hint="eastAsia"/>
          <w:color w:val="000000"/>
          <w:szCs w:val="21"/>
          <w:u w:val="single"/>
        </w:rPr>
        <w:t xml:space="preserve">     </w:t>
      </w:r>
      <w:r>
        <w:rPr>
          <w:rFonts w:hint="eastAsia"/>
          <w:color w:val="000000"/>
          <w:szCs w:val="21"/>
        </w:rPr>
        <w:t>年</w:t>
      </w:r>
      <w:r>
        <w:rPr>
          <w:rFonts w:hint="eastAsia"/>
          <w:szCs w:val="21"/>
          <w:u w:val="single"/>
        </w:rPr>
        <w:t xml:space="preserve">    </w:t>
      </w:r>
      <w:r>
        <w:rPr>
          <w:rFonts w:hint="eastAsia"/>
          <w:color w:val="000000"/>
          <w:szCs w:val="21"/>
        </w:rPr>
        <w:t>月</w:t>
      </w:r>
      <w:r>
        <w:rPr>
          <w:rFonts w:hint="eastAsia"/>
          <w:szCs w:val="21"/>
          <w:u w:val="single"/>
        </w:rPr>
        <w:t xml:space="preserve">    </w:t>
      </w:r>
      <w:r>
        <w:rPr>
          <w:rFonts w:hint="eastAsia"/>
          <w:color w:val="000000"/>
          <w:szCs w:val="21"/>
        </w:rPr>
        <w:t>日</w:t>
      </w:r>
    </w:p>
    <w:p>
      <w:pPr>
        <w:widowControl/>
        <w:spacing w:line="500" w:lineRule="exact"/>
        <w:jc w:val="left"/>
        <w:rPr>
          <w:rFonts w:asciiTheme="minorEastAsia" w:hAnsiTheme="minorEastAsia" w:cstheme="minorEastAsia"/>
          <w:b/>
          <w:bCs/>
          <w:kern w:val="0"/>
          <w:sz w:val="28"/>
          <w:szCs w:val="28"/>
        </w:rPr>
      </w:pPr>
    </w:p>
    <w:p>
      <w:pPr>
        <w:widowControl/>
        <w:spacing w:line="500" w:lineRule="exact"/>
        <w:jc w:val="left"/>
        <w:rPr>
          <w:rFonts w:asciiTheme="minorEastAsia" w:hAnsiTheme="minorEastAsia" w:cstheme="minorEastAsia"/>
          <w:b/>
          <w:bCs/>
          <w:kern w:val="0"/>
          <w:sz w:val="28"/>
          <w:szCs w:val="28"/>
        </w:rPr>
      </w:pPr>
    </w:p>
    <w:p>
      <w:pPr>
        <w:widowControl/>
        <w:spacing w:line="5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九、验收与结算</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1、货物验收时，服务商须提供送货单、质量检测报告、地磅单等相应资料。</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2、每月结算一次，按合同单价与实际配送数量进行结算。</w:t>
      </w:r>
    </w:p>
    <w:p>
      <w:pPr>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3、凭验收资料、全额发票，采购人于60天内支付相应费用。</w:t>
      </w:r>
    </w:p>
    <w:p>
      <w:pPr>
        <w:widowControl/>
        <w:spacing w:line="500" w:lineRule="exact"/>
        <w:jc w:val="left"/>
        <w:rPr>
          <w:rFonts w:asciiTheme="minorEastAsia" w:hAnsiTheme="minorEastAsia" w:cstheme="minorEastAsia"/>
          <w:b/>
          <w:bCs/>
          <w:kern w:val="0"/>
          <w:sz w:val="28"/>
          <w:szCs w:val="28"/>
        </w:rPr>
      </w:pPr>
    </w:p>
    <w:p>
      <w:pPr>
        <w:spacing w:line="500" w:lineRule="exact"/>
        <w:ind w:right="840"/>
        <w:jc w:val="left"/>
        <w:rPr>
          <w:rFonts w:asciiTheme="minorEastAsia" w:hAnsiTheme="minorEastAsia"/>
          <w:szCs w:val="21"/>
        </w:rPr>
      </w:pPr>
    </w:p>
    <w:sectPr>
      <w:pgSz w:w="11906" w:h="16838"/>
      <w:pgMar w:top="1440" w:right="991" w:bottom="709"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384B"/>
    <w:rsid w:val="00003BB3"/>
    <w:rsid w:val="00025D7E"/>
    <w:rsid w:val="00033B53"/>
    <w:rsid w:val="00047C0D"/>
    <w:rsid w:val="00052716"/>
    <w:rsid w:val="000612E1"/>
    <w:rsid w:val="000619CA"/>
    <w:rsid w:val="00062B23"/>
    <w:rsid w:val="000656F0"/>
    <w:rsid w:val="0008483D"/>
    <w:rsid w:val="00097933"/>
    <w:rsid w:val="000A075D"/>
    <w:rsid w:val="000A4E23"/>
    <w:rsid w:val="000B5AEC"/>
    <w:rsid w:val="000C1A22"/>
    <w:rsid w:val="000C296F"/>
    <w:rsid w:val="000C44AD"/>
    <w:rsid w:val="000D4DA6"/>
    <w:rsid w:val="0012755B"/>
    <w:rsid w:val="00127A1B"/>
    <w:rsid w:val="001317B0"/>
    <w:rsid w:val="0013287F"/>
    <w:rsid w:val="0015152E"/>
    <w:rsid w:val="00165415"/>
    <w:rsid w:val="00167E39"/>
    <w:rsid w:val="001771EA"/>
    <w:rsid w:val="001827CC"/>
    <w:rsid w:val="00192825"/>
    <w:rsid w:val="001A5B44"/>
    <w:rsid w:val="001B392C"/>
    <w:rsid w:val="001B46D4"/>
    <w:rsid w:val="001C443B"/>
    <w:rsid w:val="001D7351"/>
    <w:rsid w:val="001F63E1"/>
    <w:rsid w:val="001F7C64"/>
    <w:rsid w:val="00210C94"/>
    <w:rsid w:val="00211407"/>
    <w:rsid w:val="00222045"/>
    <w:rsid w:val="00223CFE"/>
    <w:rsid w:val="00231BC5"/>
    <w:rsid w:val="002336B8"/>
    <w:rsid w:val="00236BCD"/>
    <w:rsid w:val="002403DE"/>
    <w:rsid w:val="002452D2"/>
    <w:rsid w:val="0025014F"/>
    <w:rsid w:val="0026714A"/>
    <w:rsid w:val="00267BB1"/>
    <w:rsid w:val="00270070"/>
    <w:rsid w:val="00271584"/>
    <w:rsid w:val="002852D0"/>
    <w:rsid w:val="002945AA"/>
    <w:rsid w:val="002A3ED1"/>
    <w:rsid w:val="002B5A39"/>
    <w:rsid w:val="002C1259"/>
    <w:rsid w:val="002C168B"/>
    <w:rsid w:val="002D076A"/>
    <w:rsid w:val="002E2E07"/>
    <w:rsid w:val="002E6230"/>
    <w:rsid w:val="003013A1"/>
    <w:rsid w:val="0030175E"/>
    <w:rsid w:val="00316432"/>
    <w:rsid w:val="00324217"/>
    <w:rsid w:val="003310D7"/>
    <w:rsid w:val="00334C99"/>
    <w:rsid w:val="00347319"/>
    <w:rsid w:val="00347C79"/>
    <w:rsid w:val="00353F21"/>
    <w:rsid w:val="00357F02"/>
    <w:rsid w:val="003604D5"/>
    <w:rsid w:val="00371E76"/>
    <w:rsid w:val="00372058"/>
    <w:rsid w:val="003812BC"/>
    <w:rsid w:val="00385202"/>
    <w:rsid w:val="00385569"/>
    <w:rsid w:val="003974BF"/>
    <w:rsid w:val="003A1421"/>
    <w:rsid w:val="003B152A"/>
    <w:rsid w:val="003C3562"/>
    <w:rsid w:val="003D1941"/>
    <w:rsid w:val="003D6BF1"/>
    <w:rsid w:val="003E3281"/>
    <w:rsid w:val="003E32F3"/>
    <w:rsid w:val="003E755C"/>
    <w:rsid w:val="003F55CB"/>
    <w:rsid w:val="003F6B24"/>
    <w:rsid w:val="00414EF7"/>
    <w:rsid w:val="00420B63"/>
    <w:rsid w:val="00431CAB"/>
    <w:rsid w:val="00443796"/>
    <w:rsid w:val="004537DB"/>
    <w:rsid w:val="00453E9F"/>
    <w:rsid w:val="00460841"/>
    <w:rsid w:val="00463AA4"/>
    <w:rsid w:val="00464646"/>
    <w:rsid w:val="00482FAC"/>
    <w:rsid w:val="00490745"/>
    <w:rsid w:val="00491ED9"/>
    <w:rsid w:val="004A077E"/>
    <w:rsid w:val="004A5F17"/>
    <w:rsid w:val="004A7685"/>
    <w:rsid w:val="004D6B9C"/>
    <w:rsid w:val="004E6067"/>
    <w:rsid w:val="004F1FEB"/>
    <w:rsid w:val="004F5B68"/>
    <w:rsid w:val="00511413"/>
    <w:rsid w:val="0051212A"/>
    <w:rsid w:val="00512E07"/>
    <w:rsid w:val="00516AA4"/>
    <w:rsid w:val="00526C22"/>
    <w:rsid w:val="005349E8"/>
    <w:rsid w:val="005466B4"/>
    <w:rsid w:val="00547FF9"/>
    <w:rsid w:val="00550498"/>
    <w:rsid w:val="00554A7C"/>
    <w:rsid w:val="0055660F"/>
    <w:rsid w:val="00557841"/>
    <w:rsid w:val="00557AF4"/>
    <w:rsid w:val="00581449"/>
    <w:rsid w:val="00581EA8"/>
    <w:rsid w:val="005834CE"/>
    <w:rsid w:val="00590133"/>
    <w:rsid w:val="00590B17"/>
    <w:rsid w:val="00596D2B"/>
    <w:rsid w:val="005A01BB"/>
    <w:rsid w:val="005A5AEC"/>
    <w:rsid w:val="005B04C9"/>
    <w:rsid w:val="005E01B1"/>
    <w:rsid w:val="005E4198"/>
    <w:rsid w:val="005E5369"/>
    <w:rsid w:val="005E5559"/>
    <w:rsid w:val="005F175A"/>
    <w:rsid w:val="00601B5C"/>
    <w:rsid w:val="00603A9A"/>
    <w:rsid w:val="00611D97"/>
    <w:rsid w:val="0062419F"/>
    <w:rsid w:val="00625CC7"/>
    <w:rsid w:val="006311FC"/>
    <w:rsid w:val="00644395"/>
    <w:rsid w:val="00646BA6"/>
    <w:rsid w:val="00663C26"/>
    <w:rsid w:val="00665BD7"/>
    <w:rsid w:val="00676949"/>
    <w:rsid w:val="006804F5"/>
    <w:rsid w:val="006806E1"/>
    <w:rsid w:val="006946A9"/>
    <w:rsid w:val="006A1290"/>
    <w:rsid w:val="006A37A7"/>
    <w:rsid w:val="006A4667"/>
    <w:rsid w:val="006B5992"/>
    <w:rsid w:val="006C09BC"/>
    <w:rsid w:val="006C13D3"/>
    <w:rsid w:val="006C36D4"/>
    <w:rsid w:val="006C395A"/>
    <w:rsid w:val="006C60BB"/>
    <w:rsid w:val="006E384B"/>
    <w:rsid w:val="00701102"/>
    <w:rsid w:val="0071026D"/>
    <w:rsid w:val="00723BD5"/>
    <w:rsid w:val="00724E63"/>
    <w:rsid w:val="00740442"/>
    <w:rsid w:val="007471F8"/>
    <w:rsid w:val="00761A5E"/>
    <w:rsid w:val="007750C4"/>
    <w:rsid w:val="00776A7A"/>
    <w:rsid w:val="00795C66"/>
    <w:rsid w:val="007B33A7"/>
    <w:rsid w:val="00806DEF"/>
    <w:rsid w:val="00832C0E"/>
    <w:rsid w:val="0084028C"/>
    <w:rsid w:val="0085059F"/>
    <w:rsid w:val="00861016"/>
    <w:rsid w:val="00862B90"/>
    <w:rsid w:val="00873D8F"/>
    <w:rsid w:val="00894532"/>
    <w:rsid w:val="008A4B79"/>
    <w:rsid w:val="008B08B3"/>
    <w:rsid w:val="008B6EB3"/>
    <w:rsid w:val="008C0334"/>
    <w:rsid w:val="008C4B6B"/>
    <w:rsid w:val="008D0904"/>
    <w:rsid w:val="008D6CE0"/>
    <w:rsid w:val="008E3CF7"/>
    <w:rsid w:val="008E589B"/>
    <w:rsid w:val="008E664E"/>
    <w:rsid w:val="0091330A"/>
    <w:rsid w:val="0094216D"/>
    <w:rsid w:val="00952799"/>
    <w:rsid w:val="00961ED6"/>
    <w:rsid w:val="0096581A"/>
    <w:rsid w:val="009708C2"/>
    <w:rsid w:val="0098457D"/>
    <w:rsid w:val="00994317"/>
    <w:rsid w:val="009A09B6"/>
    <w:rsid w:val="009C30A4"/>
    <w:rsid w:val="009D064B"/>
    <w:rsid w:val="009D2323"/>
    <w:rsid w:val="009D6678"/>
    <w:rsid w:val="009D6F9A"/>
    <w:rsid w:val="009D7304"/>
    <w:rsid w:val="009E70C7"/>
    <w:rsid w:val="00A100E0"/>
    <w:rsid w:val="00A60A4E"/>
    <w:rsid w:val="00A6460D"/>
    <w:rsid w:val="00A70048"/>
    <w:rsid w:val="00A74D6A"/>
    <w:rsid w:val="00A82B22"/>
    <w:rsid w:val="00A95CA4"/>
    <w:rsid w:val="00A97A2D"/>
    <w:rsid w:val="00AB0D2B"/>
    <w:rsid w:val="00AB73C2"/>
    <w:rsid w:val="00AC352A"/>
    <w:rsid w:val="00AC49CF"/>
    <w:rsid w:val="00AD16DF"/>
    <w:rsid w:val="00AF7B80"/>
    <w:rsid w:val="00B17B9C"/>
    <w:rsid w:val="00B20522"/>
    <w:rsid w:val="00B231F3"/>
    <w:rsid w:val="00B23432"/>
    <w:rsid w:val="00B2464A"/>
    <w:rsid w:val="00B27FDA"/>
    <w:rsid w:val="00B5707D"/>
    <w:rsid w:val="00B63772"/>
    <w:rsid w:val="00B72163"/>
    <w:rsid w:val="00B72E39"/>
    <w:rsid w:val="00B800C1"/>
    <w:rsid w:val="00B8727A"/>
    <w:rsid w:val="00B9182D"/>
    <w:rsid w:val="00B95D56"/>
    <w:rsid w:val="00BA4CDF"/>
    <w:rsid w:val="00BB0B36"/>
    <w:rsid w:val="00BB248E"/>
    <w:rsid w:val="00BE13BC"/>
    <w:rsid w:val="00C01B46"/>
    <w:rsid w:val="00C0474A"/>
    <w:rsid w:val="00C10126"/>
    <w:rsid w:val="00C170A3"/>
    <w:rsid w:val="00C4094C"/>
    <w:rsid w:val="00C4779E"/>
    <w:rsid w:val="00C563DE"/>
    <w:rsid w:val="00C6030F"/>
    <w:rsid w:val="00C63F13"/>
    <w:rsid w:val="00C71357"/>
    <w:rsid w:val="00C739AE"/>
    <w:rsid w:val="00C920DE"/>
    <w:rsid w:val="00C92F1B"/>
    <w:rsid w:val="00CB177A"/>
    <w:rsid w:val="00CB5020"/>
    <w:rsid w:val="00CC4288"/>
    <w:rsid w:val="00CD49A3"/>
    <w:rsid w:val="00CD60A0"/>
    <w:rsid w:val="00CE00F4"/>
    <w:rsid w:val="00CE0AC8"/>
    <w:rsid w:val="00CE221F"/>
    <w:rsid w:val="00D1617B"/>
    <w:rsid w:val="00D27407"/>
    <w:rsid w:val="00D55D09"/>
    <w:rsid w:val="00D57B76"/>
    <w:rsid w:val="00D60E60"/>
    <w:rsid w:val="00D66A2A"/>
    <w:rsid w:val="00D85C8A"/>
    <w:rsid w:val="00D87BAA"/>
    <w:rsid w:val="00D909BB"/>
    <w:rsid w:val="00D92EB3"/>
    <w:rsid w:val="00D95BB8"/>
    <w:rsid w:val="00DA12A2"/>
    <w:rsid w:val="00DA5091"/>
    <w:rsid w:val="00DA73F6"/>
    <w:rsid w:val="00DC6443"/>
    <w:rsid w:val="00DD0DDB"/>
    <w:rsid w:val="00DD137E"/>
    <w:rsid w:val="00DD428A"/>
    <w:rsid w:val="00DF6CD1"/>
    <w:rsid w:val="00DF7D45"/>
    <w:rsid w:val="00E11BE4"/>
    <w:rsid w:val="00E31E36"/>
    <w:rsid w:val="00E60612"/>
    <w:rsid w:val="00E661D3"/>
    <w:rsid w:val="00E70C20"/>
    <w:rsid w:val="00E738B3"/>
    <w:rsid w:val="00E80FF2"/>
    <w:rsid w:val="00E84DA5"/>
    <w:rsid w:val="00E876F7"/>
    <w:rsid w:val="00EA3F2C"/>
    <w:rsid w:val="00EA4AC8"/>
    <w:rsid w:val="00EA6A14"/>
    <w:rsid w:val="00EB6FC9"/>
    <w:rsid w:val="00EB7675"/>
    <w:rsid w:val="00EB7C73"/>
    <w:rsid w:val="00EC07BF"/>
    <w:rsid w:val="00EC7627"/>
    <w:rsid w:val="00ED2E5E"/>
    <w:rsid w:val="00EE275A"/>
    <w:rsid w:val="00EE48BF"/>
    <w:rsid w:val="00EE6BBF"/>
    <w:rsid w:val="00EF198C"/>
    <w:rsid w:val="00EF4AA4"/>
    <w:rsid w:val="00F0557E"/>
    <w:rsid w:val="00F077E4"/>
    <w:rsid w:val="00F07FF1"/>
    <w:rsid w:val="00F20AA8"/>
    <w:rsid w:val="00F3187E"/>
    <w:rsid w:val="00F354D8"/>
    <w:rsid w:val="00F378C9"/>
    <w:rsid w:val="00F42036"/>
    <w:rsid w:val="00F478A5"/>
    <w:rsid w:val="00F5518B"/>
    <w:rsid w:val="00F571CC"/>
    <w:rsid w:val="00F65EE2"/>
    <w:rsid w:val="00F7028E"/>
    <w:rsid w:val="00F76628"/>
    <w:rsid w:val="00F811B7"/>
    <w:rsid w:val="00F825A2"/>
    <w:rsid w:val="00F95766"/>
    <w:rsid w:val="00FA65C0"/>
    <w:rsid w:val="00FB0C4A"/>
    <w:rsid w:val="00FC375E"/>
    <w:rsid w:val="00FD6733"/>
    <w:rsid w:val="00FD7B94"/>
    <w:rsid w:val="00FE0053"/>
    <w:rsid w:val="00FE3AC0"/>
    <w:rsid w:val="00FE596F"/>
    <w:rsid w:val="00FF0DA2"/>
    <w:rsid w:val="00FF4168"/>
    <w:rsid w:val="00FF638B"/>
    <w:rsid w:val="34794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next w:val="1"/>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0">
    <w:name w:val="Table Grid"/>
    <w:basedOn w:val="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unhideWhenUsed/>
    <w:uiPriority w:val="99"/>
    <w:rPr>
      <w:color w:val="0000FF" w:themeColor="hyperlink"/>
      <w:u w:val="single"/>
    </w:rPr>
  </w:style>
  <w:style w:type="character" w:customStyle="1" w:styleId="13">
    <w:name w:val="页眉 字符"/>
    <w:basedOn w:val="11"/>
    <w:link w:val="7"/>
    <w:uiPriority w:val="99"/>
    <w:rPr>
      <w:sz w:val="18"/>
      <w:szCs w:val="18"/>
    </w:rPr>
  </w:style>
  <w:style w:type="character" w:customStyle="1" w:styleId="14">
    <w:name w:val="页脚 字符"/>
    <w:basedOn w:val="11"/>
    <w:link w:val="6"/>
    <w:uiPriority w:val="99"/>
    <w:rPr>
      <w:sz w:val="18"/>
      <w:szCs w:val="18"/>
    </w:rPr>
  </w:style>
  <w:style w:type="character" w:customStyle="1" w:styleId="15">
    <w:name w:val="标题 1 字符"/>
    <w:basedOn w:val="11"/>
    <w:link w:val="2"/>
    <w:uiPriority w:val="9"/>
    <w:rPr>
      <w:b/>
      <w:bCs/>
      <w:kern w:val="44"/>
      <w:sz w:val="44"/>
      <w:szCs w:val="44"/>
    </w:rPr>
  </w:style>
  <w:style w:type="character" w:customStyle="1" w:styleId="16">
    <w:name w:val="标题 2 字符"/>
    <w:basedOn w:val="11"/>
    <w:link w:val="3"/>
    <w:uiPriority w:val="9"/>
    <w:rPr>
      <w:rFonts w:asciiTheme="majorHAnsi" w:hAnsiTheme="majorHAnsi" w:eastAsiaTheme="majorEastAsia" w:cstheme="majorBidi"/>
      <w:b/>
      <w:bCs/>
      <w:sz w:val="32"/>
      <w:szCs w:val="32"/>
    </w:rPr>
  </w:style>
  <w:style w:type="character" w:customStyle="1" w:styleId="17">
    <w:name w:val="标题 3 字符"/>
    <w:basedOn w:val="11"/>
    <w:link w:val="4"/>
    <w:uiPriority w:val="9"/>
    <w:rPr>
      <w:b/>
      <w:bCs/>
      <w:sz w:val="32"/>
      <w:szCs w:val="32"/>
    </w:rPr>
  </w:style>
  <w:style w:type="character" w:customStyle="1" w:styleId="18">
    <w:name w:val="标题 4 字符"/>
    <w:basedOn w:val="11"/>
    <w:link w:val="5"/>
    <w:uiPriority w:val="9"/>
    <w:rPr>
      <w:rFonts w:asciiTheme="majorHAnsi" w:hAnsiTheme="majorHAnsi" w:eastAsiaTheme="majorEastAsia" w:cstheme="majorBidi"/>
      <w:b/>
      <w:bCs/>
      <w:sz w:val="28"/>
      <w:szCs w:val="2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598</Words>
  <Characters>3410</Characters>
  <Lines>28</Lines>
  <Paragraphs>7</Paragraphs>
  <TotalTime>69</TotalTime>
  <ScaleCrop>false</ScaleCrop>
  <LinksUpToDate>false</LinksUpToDate>
  <CharactersWithSpaces>4001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2024-10-11T13:38:00Z</dcterms:created>
  <dc:creator>xz1</dc:creator>
  <cp:lastModifiedBy>1</cp:lastModifiedBy>
  <cp:lastPrinted>2020-03-20T03:24:00Z</cp:lastPrinted>
  <dcterms:modified xsi:type="dcterms:W3CDTF">2024-10-12T03:17:41Z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