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B9D92">
      <w:pPr>
        <w:widowControl/>
        <w:jc w:val="center"/>
        <w:rPr>
          <w:b/>
          <w:sz w:val="32"/>
          <w:szCs w:val="32"/>
        </w:rPr>
      </w:pPr>
      <w:r>
        <w:rPr>
          <w:rFonts w:hint="eastAsia"/>
          <w:b/>
          <w:sz w:val="32"/>
          <w:szCs w:val="32"/>
        </w:rPr>
        <w:t>项目采购需求</w:t>
      </w:r>
    </w:p>
    <w:p w14:paraId="129093A7">
      <w:pPr>
        <w:widowControl/>
        <w:jc w:val="left"/>
        <w:rPr>
          <w:sz w:val="24"/>
        </w:rPr>
      </w:pPr>
      <w:r>
        <w:rPr>
          <w:rFonts w:hint="eastAsia"/>
          <w:b/>
          <w:sz w:val="24"/>
        </w:rPr>
        <w:t>一、项目基本情况</w:t>
      </w:r>
    </w:p>
    <w:p w14:paraId="5050C9D4">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w:t>
      </w:r>
      <w:r>
        <w:rPr>
          <w:rFonts w:hint="eastAsia"/>
          <w:sz w:val="24"/>
          <w:szCs w:val="24"/>
        </w:rPr>
        <w:t>中山市中医院服务器</w:t>
      </w:r>
      <w:r>
        <w:rPr>
          <w:sz w:val="24"/>
          <w:szCs w:val="24"/>
        </w:rPr>
        <w:t>采购</w:t>
      </w:r>
      <w:r>
        <w:rPr>
          <w:rFonts w:hint="eastAsia"/>
          <w:sz w:val="24"/>
          <w:szCs w:val="24"/>
        </w:rPr>
        <w:t>项目</w:t>
      </w:r>
    </w:p>
    <w:p w14:paraId="4018B742">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w:t>
      </w:r>
      <w:r>
        <w:rPr>
          <w:rFonts w:hint="eastAsia" w:ascii="宋体" w:hAnsi="宋体" w:cs="宋体"/>
          <w:sz w:val="24"/>
          <w:szCs w:val="24"/>
        </w:rPr>
        <w:t>为满足业务发展及正常运行需要</w:t>
      </w:r>
      <w:r>
        <w:rPr>
          <w:rFonts w:hint="eastAsia"/>
          <w:sz w:val="24"/>
          <w:szCs w:val="24"/>
        </w:rPr>
        <w:t>，医院拟采购一批</w:t>
      </w:r>
      <w:r>
        <w:rPr>
          <w:rFonts w:hint="eastAsia" w:ascii="宋体" w:hAnsi="宋体" w:cs="宋体"/>
          <w:sz w:val="24"/>
          <w:szCs w:val="24"/>
        </w:rPr>
        <w:t>服务器</w:t>
      </w:r>
      <w:r>
        <w:rPr>
          <w:rFonts w:hint="eastAsia"/>
          <w:sz w:val="24"/>
          <w:szCs w:val="24"/>
        </w:rPr>
        <w:t>，</w:t>
      </w:r>
      <w:r>
        <w:rPr>
          <w:rFonts w:hint="eastAsia" w:ascii="宋体" w:hAnsi="宋体" w:cs="宋体"/>
          <w:sz w:val="24"/>
          <w:szCs w:val="24"/>
        </w:rPr>
        <w:t>以提升信息系统的性能及空间容量</w:t>
      </w:r>
      <w:r>
        <w:rPr>
          <w:rFonts w:hint="eastAsia"/>
          <w:sz w:val="24"/>
          <w:szCs w:val="24"/>
        </w:rPr>
        <w:t>。</w:t>
      </w:r>
    </w:p>
    <w:p w14:paraId="28DC803E">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asciiTheme="minorEastAsia" w:hAnsiTheme="minorEastAsia" w:eastAsiaTheme="minorEastAsia"/>
        </w:rPr>
        <w:t>1</w:t>
      </w:r>
      <w:r>
        <w:rPr>
          <w:rFonts w:hint="eastAsia" w:asciiTheme="minorEastAsia" w:hAnsiTheme="minorEastAsia" w:eastAsiaTheme="minorEastAsia"/>
          <w:lang w:val="en-US" w:eastAsia="zh-CN"/>
        </w:rPr>
        <w:t>60,5</w:t>
      </w:r>
      <w:r>
        <w:rPr>
          <w:rFonts w:asciiTheme="minorEastAsia" w:hAnsiTheme="minorEastAsia" w:eastAsiaTheme="minorEastAsia"/>
        </w:rPr>
        <w:t>000</w:t>
      </w:r>
      <w:r>
        <w:rPr>
          <w:rFonts w:hint="eastAsia" w:asciiTheme="minorEastAsia" w:hAnsiTheme="minorEastAsia" w:eastAsiaTheme="minorEastAsia"/>
        </w:rPr>
        <w:t>元</w:t>
      </w:r>
      <w:bookmarkStart w:id="0" w:name="_GoBack"/>
      <w:bookmarkEnd w:id="0"/>
      <w:r>
        <w:rPr>
          <w:rFonts w:hint="eastAsia" w:asciiTheme="minorEastAsia" w:hAnsiTheme="minorEastAsia" w:eastAsiaTheme="minorEastAsia"/>
        </w:rPr>
        <w:t>，超过采购上限价的属于无效响应。</w:t>
      </w:r>
    </w:p>
    <w:p w14:paraId="20922330">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14:paraId="739AE8F0">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14:paraId="0B3B6457">
      <w:pPr>
        <w:spacing w:line="360" w:lineRule="auto"/>
        <w:rPr>
          <w:b/>
          <w:sz w:val="24"/>
        </w:rPr>
      </w:pPr>
      <w:r>
        <w:rPr>
          <w:rFonts w:hint="eastAsia"/>
          <w:b/>
          <w:sz w:val="24"/>
        </w:rPr>
        <w:t>二、采购</w:t>
      </w:r>
      <w:r>
        <w:rPr>
          <w:b/>
          <w:sz w:val="24"/>
        </w:rPr>
        <w:t>清单</w:t>
      </w:r>
    </w:p>
    <w:tbl>
      <w:tblPr>
        <w:tblStyle w:val="10"/>
        <w:tblW w:w="3585" w:type="pct"/>
        <w:jc w:val="center"/>
        <w:tblLayout w:type="autofit"/>
        <w:tblCellMar>
          <w:top w:w="0" w:type="dxa"/>
          <w:left w:w="108" w:type="dxa"/>
          <w:bottom w:w="0" w:type="dxa"/>
          <w:right w:w="108" w:type="dxa"/>
        </w:tblCellMar>
      </w:tblPr>
      <w:tblGrid>
        <w:gridCol w:w="887"/>
        <w:gridCol w:w="3969"/>
        <w:gridCol w:w="1254"/>
      </w:tblGrid>
      <w:tr w14:paraId="29F0D580">
        <w:tblPrEx>
          <w:tblCellMar>
            <w:top w:w="0" w:type="dxa"/>
            <w:left w:w="108" w:type="dxa"/>
            <w:bottom w:w="0" w:type="dxa"/>
            <w:right w:w="108" w:type="dxa"/>
          </w:tblCellMar>
        </w:tblPrEx>
        <w:trPr>
          <w:trHeight w:val="517" w:hRule="atLeast"/>
          <w:jc w:val="center"/>
        </w:trPr>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FFE6D">
            <w:pPr>
              <w:jc w:val="center"/>
            </w:pPr>
            <w:r>
              <w:rPr>
                <w:rFonts w:hint="eastAsia"/>
              </w:rPr>
              <w:t>序号</w:t>
            </w:r>
          </w:p>
        </w:tc>
        <w:tc>
          <w:tcPr>
            <w:tcW w:w="3248" w:type="pct"/>
            <w:tcBorders>
              <w:top w:val="single" w:color="auto" w:sz="4" w:space="0"/>
              <w:left w:val="nil"/>
              <w:bottom w:val="single" w:color="auto" w:sz="4" w:space="0"/>
              <w:right w:val="single" w:color="auto" w:sz="4" w:space="0"/>
            </w:tcBorders>
            <w:shd w:val="clear" w:color="auto" w:fill="auto"/>
            <w:noWrap/>
            <w:vAlign w:val="center"/>
          </w:tcPr>
          <w:p w14:paraId="7C1845F0">
            <w:pPr>
              <w:jc w:val="center"/>
            </w:pPr>
            <w:r>
              <w:rPr>
                <w:rFonts w:hint="eastAsia"/>
              </w:rPr>
              <w:t>名称</w:t>
            </w:r>
          </w:p>
        </w:tc>
        <w:tc>
          <w:tcPr>
            <w:tcW w:w="1026" w:type="pct"/>
            <w:tcBorders>
              <w:top w:val="single" w:color="auto" w:sz="4" w:space="0"/>
              <w:left w:val="nil"/>
              <w:bottom w:val="single" w:color="auto" w:sz="4" w:space="0"/>
              <w:right w:val="single" w:color="auto" w:sz="4" w:space="0"/>
            </w:tcBorders>
            <w:shd w:val="clear" w:color="auto" w:fill="auto"/>
            <w:noWrap/>
            <w:vAlign w:val="center"/>
          </w:tcPr>
          <w:p w14:paraId="565C606A">
            <w:pPr>
              <w:jc w:val="center"/>
            </w:pPr>
            <w:r>
              <w:rPr>
                <w:rFonts w:hint="eastAsia"/>
              </w:rPr>
              <w:t>数量</w:t>
            </w:r>
          </w:p>
        </w:tc>
      </w:tr>
      <w:tr w14:paraId="789B8D99">
        <w:tblPrEx>
          <w:tblCellMar>
            <w:top w:w="0" w:type="dxa"/>
            <w:left w:w="108" w:type="dxa"/>
            <w:bottom w:w="0" w:type="dxa"/>
            <w:right w:w="108" w:type="dxa"/>
          </w:tblCellMar>
        </w:tblPrEx>
        <w:trPr>
          <w:trHeight w:val="588" w:hRule="atLeast"/>
          <w:jc w:val="center"/>
        </w:trPr>
        <w:tc>
          <w:tcPr>
            <w:tcW w:w="726" w:type="pct"/>
            <w:tcBorders>
              <w:top w:val="nil"/>
              <w:left w:val="single" w:color="auto" w:sz="4" w:space="0"/>
              <w:bottom w:val="single" w:color="auto" w:sz="4" w:space="0"/>
              <w:right w:val="single" w:color="auto" w:sz="4" w:space="0"/>
            </w:tcBorders>
            <w:shd w:val="clear" w:color="auto" w:fill="auto"/>
            <w:noWrap/>
            <w:vAlign w:val="center"/>
          </w:tcPr>
          <w:p w14:paraId="7821A2C0">
            <w:pPr>
              <w:jc w:val="center"/>
            </w:pPr>
            <w:r>
              <w:rPr>
                <w:rFonts w:hint="eastAsia"/>
              </w:rPr>
              <w:t>1</w:t>
            </w:r>
          </w:p>
        </w:tc>
        <w:tc>
          <w:tcPr>
            <w:tcW w:w="3248" w:type="pct"/>
            <w:tcBorders>
              <w:top w:val="nil"/>
              <w:left w:val="nil"/>
              <w:bottom w:val="single" w:color="auto" w:sz="4" w:space="0"/>
              <w:right w:val="single" w:color="auto" w:sz="4" w:space="0"/>
            </w:tcBorders>
            <w:shd w:val="clear" w:color="auto" w:fill="auto"/>
            <w:noWrap/>
            <w:vAlign w:val="center"/>
          </w:tcPr>
          <w:p w14:paraId="24D7075A">
            <w:pPr>
              <w:jc w:val="center"/>
            </w:pPr>
            <w:r>
              <w:rPr>
                <w:rFonts w:hint="eastAsia"/>
              </w:rPr>
              <w:t>云平台服务器</w:t>
            </w:r>
          </w:p>
        </w:tc>
        <w:tc>
          <w:tcPr>
            <w:tcW w:w="1026" w:type="pct"/>
            <w:tcBorders>
              <w:top w:val="nil"/>
              <w:left w:val="nil"/>
              <w:bottom w:val="single" w:color="auto" w:sz="4" w:space="0"/>
              <w:right w:val="single" w:color="auto" w:sz="4" w:space="0"/>
            </w:tcBorders>
            <w:shd w:val="clear" w:color="auto" w:fill="auto"/>
            <w:vAlign w:val="center"/>
          </w:tcPr>
          <w:p w14:paraId="66E3D38C">
            <w:pPr>
              <w:jc w:val="center"/>
            </w:pPr>
            <w:r>
              <w:t>5</w:t>
            </w:r>
          </w:p>
        </w:tc>
      </w:tr>
      <w:tr w14:paraId="5799DCC0">
        <w:tblPrEx>
          <w:tblCellMar>
            <w:top w:w="0" w:type="dxa"/>
            <w:left w:w="108" w:type="dxa"/>
            <w:bottom w:w="0" w:type="dxa"/>
            <w:right w:w="108" w:type="dxa"/>
          </w:tblCellMar>
        </w:tblPrEx>
        <w:trPr>
          <w:trHeight w:val="554" w:hRule="atLeast"/>
          <w:jc w:val="center"/>
        </w:trPr>
        <w:tc>
          <w:tcPr>
            <w:tcW w:w="726" w:type="pct"/>
            <w:tcBorders>
              <w:top w:val="nil"/>
              <w:left w:val="single" w:color="auto" w:sz="4" w:space="0"/>
              <w:bottom w:val="single" w:color="auto" w:sz="4" w:space="0"/>
              <w:right w:val="single" w:color="auto" w:sz="4" w:space="0"/>
            </w:tcBorders>
            <w:shd w:val="clear" w:color="auto" w:fill="auto"/>
            <w:noWrap/>
            <w:vAlign w:val="center"/>
          </w:tcPr>
          <w:p w14:paraId="77963F5A">
            <w:pPr>
              <w:jc w:val="center"/>
            </w:pPr>
            <w:r>
              <w:rPr>
                <w:rFonts w:hint="eastAsia"/>
              </w:rPr>
              <w:t>2</w:t>
            </w:r>
          </w:p>
        </w:tc>
        <w:tc>
          <w:tcPr>
            <w:tcW w:w="3248" w:type="pct"/>
            <w:tcBorders>
              <w:top w:val="nil"/>
              <w:left w:val="nil"/>
              <w:bottom w:val="single" w:color="auto" w:sz="4" w:space="0"/>
              <w:right w:val="single" w:color="auto" w:sz="4" w:space="0"/>
            </w:tcBorders>
            <w:shd w:val="clear" w:color="auto" w:fill="auto"/>
            <w:noWrap/>
            <w:vAlign w:val="center"/>
          </w:tcPr>
          <w:p w14:paraId="5C2E210F">
            <w:pPr>
              <w:jc w:val="center"/>
            </w:pPr>
            <w:r>
              <w:rPr>
                <w:rFonts w:hint="eastAsia"/>
              </w:rPr>
              <w:t>备份服务器</w:t>
            </w:r>
          </w:p>
        </w:tc>
        <w:tc>
          <w:tcPr>
            <w:tcW w:w="1026" w:type="pct"/>
            <w:tcBorders>
              <w:top w:val="nil"/>
              <w:left w:val="nil"/>
              <w:bottom w:val="single" w:color="auto" w:sz="4" w:space="0"/>
              <w:right w:val="single" w:color="auto" w:sz="4" w:space="0"/>
            </w:tcBorders>
            <w:shd w:val="clear" w:color="auto" w:fill="auto"/>
            <w:vAlign w:val="center"/>
          </w:tcPr>
          <w:p w14:paraId="03D675E3">
            <w:pPr>
              <w:jc w:val="center"/>
            </w:pPr>
            <w:r>
              <w:t>2</w:t>
            </w:r>
          </w:p>
        </w:tc>
      </w:tr>
    </w:tbl>
    <w:p w14:paraId="440BF74A">
      <w:pPr>
        <w:spacing w:line="360" w:lineRule="auto"/>
        <w:rPr>
          <w:b/>
          <w:sz w:val="24"/>
        </w:rPr>
      </w:pPr>
    </w:p>
    <w:p w14:paraId="41145B18">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技术参数</w:t>
      </w:r>
    </w:p>
    <w:p w14:paraId="59992823">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1、云平台服务器</w:t>
      </w:r>
    </w:p>
    <w:p w14:paraId="3ACF3F6C">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 xml:space="preserve">.1 </w:t>
      </w:r>
      <w:r>
        <w:rPr>
          <w:rFonts w:hint="eastAsia" w:asciiTheme="minorEastAsia" w:hAnsiTheme="minorEastAsia" w:eastAsiaTheme="minorEastAsia"/>
          <w:color w:val="000000"/>
          <w:szCs w:val="21"/>
        </w:rPr>
        <w:t>2U机架式服务器，前端不少于8个2.5吋盘位，可扩展至24个，支持SAS/SATA HDD/SSD硬盘；</w:t>
      </w:r>
    </w:p>
    <w:p w14:paraId="172E6493">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1.2</w:t>
      </w:r>
      <w:r>
        <w:rPr>
          <w:rFonts w:hint="eastAsia" w:asciiTheme="minorEastAsia" w:hAnsiTheme="minorEastAsia" w:eastAsiaTheme="minorEastAsia"/>
          <w:color w:val="000000"/>
          <w:szCs w:val="21"/>
        </w:rPr>
        <w:t>两个x86架构第三代服务器专用CPU，CPU内核≥32个，主频≥2.8GHz；</w:t>
      </w:r>
    </w:p>
    <w:p w14:paraId="6A647938">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1.3</w:t>
      </w:r>
      <w:r>
        <w:rPr>
          <w:rFonts w:hint="eastAsia" w:asciiTheme="minorEastAsia" w:hAnsiTheme="minorEastAsia" w:eastAsiaTheme="minorEastAsia"/>
          <w:color w:val="000000"/>
          <w:szCs w:val="21"/>
        </w:rPr>
        <w:t>内存2TB（DDR4、3200MHz）；最大支持32根DDR4内存，最高速率3200MT/s，支持RDIMM或LRDIMM,最大可支持内存容量高达12TB；</w:t>
      </w:r>
    </w:p>
    <w:p w14:paraId="06CADB46">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配置1个标准PCIe槽位阵列卡，支持RAID0/1/10/5/6/50/60/1E/Simple Volume≥2GB缓存，支持缓存数据保护，配置掉电保护模块；</w:t>
      </w:r>
    </w:p>
    <w:p w14:paraId="3EBF9874">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1.5 </w:t>
      </w:r>
      <w:r>
        <w:rPr>
          <w:rFonts w:hint="eastAsia" w:asciiTheme="minorEastAsia" w:hAnsiTheme="minorEastAsia" w:eastAsiaTheme="minorEastAsia"/>
          <w:color w:val="000000"/>
          <w:szCs w:val="21"/>
        </w:rPr>
        <w:t>配置2×960GB SSD；</w:t>
      </w:r>
    </w:p>
    <w:p w14:paraId="468FBE85">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1.6 </w:t>
      </w:r>
      <w:r>
        <w:rPr>
          <w:rFonts w:hint="eastAsia" w:asciiTheme="minorEastAsia" w:hAnsiTheme="minorEastAsia" w:eastAsiaTheme="minorEastAsia"/>
          <w:color w:val="000000"/>
          <w:szCs w:val="21"/>
        </w:rPr>
        <w:t>1×1.92TB NVME（PCIE接口)；</w:t>
      </w:r>
    </w:p>
    <w:p w14:paraId="6F758947">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不少于6个PCIe×8插槽；</w:t>
      </w:r>
    </w:p>
    <w:p w14:paraId="23DFC953">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.8</w:t>
      </w:r>
      <w:r>
        <w:rPr>
          <w:rFonts w:hint="eastAsia" w:asciiTheme="minorEastAsia" w:hAnsiTheme="minorEastAsia" w:eastAsiaTheme="minorEastAsia"/>
          <w:color w:val="000000"/>
          <w:szCs w:val="21"/>
        </w:rPr>
        <w:t>可支持2个 x16 OCP3.0插槽，实配一个OCP3.0插槽；</w:t>
      </w:r>
    </w:p>
    <w:p w14:paraId="6FC775CB">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.9</w:t>
      </w:r>
      <w:r>
        <w:rPr>
          <w:rFonts w:hint="eastAsia" w:asciiTheme="minorEastAsia" w:hAnsiTheme="minorEastAsia" w:eastAsiaTheme="minorEastAsia"/>
          <w:color w:val="000000"/>
          <w:szCs w:val="21"/>
        </w:rPr>
        <w:t>配置2*双口万兆光口网卡，带SFP+ sx模块；</w:t>
      </w:r>
    </w:p>
    <w:p w14:paraId="44F38C80">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.10</w:t>
      </w:r>
      <w:r>
        <w:rPr>
          <w:rFonts w:hint="eastAsia" w:asciiTheme="minorEastAsia" w:hAnsiTheme="minorEastAsia" w:eastAsiaTheme="minorEastAsia"/>
          <w:color w:val="000000"/>
          <w:szCs w:val="21"/>
        </w:rPr>
        <w:t>两个32GB单口光纤通道HBA卡；</w:t>
      </w:r>
    </w:p>
    <w:p w14:paraId="0ECA43AC">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1.11 </w:t>
      </w:r>
      <w:r>
        <w:rPr>
          <w:rFonts w:hint="eastAsia" w:asciiTheme="minorEastAsia" w:hAnsiTheme="minorEastAsia" w:eastAsiaTheme="minorEastAsia"/>
          <w:color w:val="000000"/>
          <w:szCs w:val="21"/>
        </w:rPr>
        <w:t>配置2块可热插拔冗余电源，电源功率≥550w，支持升级96%能效比的电源选件，标配2条C13-C14支持PDU电源线；热插拔冗余风扇；</w:t>
      </w:r>
    </w:p>
    <w:p w14:paraId="62D0DAAC">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 xml:space="preserve">.12 </w:t>
      </w:r>
      <w:r>
        <w:rPr>
          <w:rFonts w:hint="eastAsia" w:asciiTheme="minorEastAsia" w:hAnsiTheme="minorEastAsia" w:eastAsiaTheme="minorEastAsia"/>
          <w:color w:val="000000"/>
          <w:szCs w:val="21"/>
        </w:rPr>
        <w:t>标配免工具滑轨；</w:t>
      </w:r>
    </w:p>
    <w:p w14:paraId="3672B97A">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 xml:space="preserve">.13 </w:t>
      </w:r>
      <w:r>
        <w:rPr>
          <w:rFonts w:hint="eastAsia" w:asciiTheme="minorEastAsia" w:hAnsiTheme="minorEastAsia" w:eastAsiaTheme="minorEastAsia"/>
          <w:color w:val="000000"/>
          <w:szCs w:val="21"/>
        </w:rPr>
        <w:t>配机尾理线架，理线架不得与机器尾部线缆相互干涉导致不能闭合到位；</w:t>
      </w:r>
    </w:p>
    <w:p w14:paraId="645FC59E">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1.14</w:t>
      </w:r>
      <w:r>
        <w:rPr>
          <w:rFonts w:hint="eastAsia" w:asciiTheme="minorEastAsia" w:hAnsiTheme="minorEastAsia" w:eastAsiaTheme="minorEastAsia"/>
          <w:color w:val="000000"/>
          <w:szCs w:val="21"/>
        </w:rPr>
        <w:t>中文界面后台管理系统，可完成网络、存储的配置；标配虚拟KVM、远程虚拟介质功能；</w:t>
      </w:r>
    </w:p>
    <w:p w14:paraId="6FD60D65">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r>
        <w:rPr>
          <w:rFonts w:asciiTheme="minorEastAsia" w:hAnsiTheme="minorEastAsia" w:eastAsiaTheme="minorEastAsia"/>
          <w:color w:val="000000"/>
          <w:szCs w:val="21"/>
        </w:rPr>
        <w:t>.15</w:t>
      </w:r>
      <w:r>
        <w:rPr>
          <w:rFonts w:hint="eastAsia" w:asciiTheme="minorEastAsia" w:hAnsiTheme="minorEastAsia" w:eastAsiaTheme="minorEastAsia"/>
          <w:color w:val="000000"/>
          <w:szCs w:val="21"/>
        </w:rPr>
        <w:t>三年7×24×4带备件现场服务。</w:t>
      </w:r>
    </w:p>
    <w:p w14:paraId="246A0AB5">
      <w:pPr>
        <w:spacing w:line="460" w:lineRule="atLeast"/>
        <w:rPr>
          <w:rFonts w:asciiTheme="minorEastAsia" w:hAnsiTheme="minorEastAsia" w:eastAsiaTheme="minorEastAsia"/>
          <w:color w:val="000000"/>
          <w:szCs w:val="21"/>
        </w:rPr>
      </w:pPr>
    </w:p>
    <w:p w14:paraId="3475C646">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2、备份用服务器</w:t>
      </w:r>
    </w:p>
    <w:p w14:paraId="0DF25F3B">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2.1 2U机架式服务器，支持SAS/SATA HDD/SSD硬盘；前端24个2.5吋盘位； </w:t>
      </w:r>
    </w:p>
    <w:p w14:paraId="55F0C369">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2.2两个x86架构第三代服务器专用CPU，CPU内核≥32个，主频≥2.8GHz；</w:t>
      </w:r>
    </w:p>
    <w:p w14:paraId="3E397C17">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2.3内存1024GB( DDR4、3200MHz)；最大支持32根DDR4内存，最高速率3200MT/s，支持RDIMM或LRDIMM,最大可支持内存容量高达12TB；</w:t>
      </w:r>
    </w:p>
    <w:p w14:paraId="7B06DA97">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2.4配置1个标准PCIe槽位阵列卡，支持RAID0/1/10/5/6/50/60/1E/Simple Volume≥2GB缓存，支持缓存数据保护，配置掉电保护模块；</w:t>
      </w:r>
    </w:p>
    <w:p w14:paraId="4FCF1980">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2.5配置24×7.68TB SSD；</w:t>
      </w:r>
    </w:p>
    <w:p w14:paraId="4D624DA8">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2.6不少于6个PCIe×8插槽；</w:t>
      </w:r>
    </w:p>
    <w:p w14:paraId="64D6741E">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2.7配置2*双口万兆光口网卡，带SFP+ sx模块；</w:t>
      </w:r>
    </w:p>
    <w:p w14:paraId="29E39946">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2.8两个 32GB单口光纤通道 HBA卡；</w:t>
      </w:r>
    </w:p>
    <w:p w14:paraId="3C23BCE9">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2.9 配置2块可热插拔冗余电源，电源功率≥800w，支持升级96%能效比的电源选件，标配2条C13-C14支持PDU电源线；热插拔冗余风扇；</w:t>
      </w:r>
    </w:p>
    <w:p w14:paraId="2817D9D9">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2.10标配免工具滑轨；</w:t>
      </w:r>
    </w:p>
    <w:p w14:paraId="4FE87FEE">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2.11配机尾理线架，理线架不得与机器尾部线缆相互干涉导致不能闭合到位；</w:t>
      </w:r>
    </w:p>
    <w:p w14:paraId="441DF75C">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2.12中文界面后台管理系统，可完成网络、存储的配置；标配虚拟KVM、远程虚拟介质功能；</w:t>
      </w:r>
    </w:p>
    <w:p w14:paraId="26CD71B9">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r>
        <w:rPr>
          <w:rFonts w:asciiTheme="minorEastAsia" w:hAnsiTheme="minorEastAsia" w:eastAsiaTheme="minorEastAsia"/>
          <w:color w:val="000000"/>
          <w:szCs w:val="21"/>
        </w:rPr>
        <w:t>.13</w:t>
      </w:r>
      <w:r>
        <w:rPr>
          <w:rFonts w:hint="eastAsia" w:asciiTheme="minorEastAsia" w:hAnsiTheme="minorEastAsia" w:eastAsiaTheme="minorEastAsia"/>
          <w:color w:val="000000"/>
          <w:szCs w:val="21"/>
        </w:rPr>
        <w:t>三年7×24×4带备件现场服务。</w:t>
      </w:r>
    </w:p>
    <w:p w14:paraId="423689FD">
      <w:pPr>
        <w:spacing w:line="360" w:lineRule="auto"/>
        <w:rPr>
          <w:rFonts w:ascii="宋体" w:hAnsi="宋体"/>
          <w:b/>
          <w:sz w:val="24"/>
        </w:rPr>
      </w:pPr>
    </w:p>
    <w:p w14:paraId="52946D48">
      <w:pPr>
        <w:spacing w:line="360" w:lineRule="auto"/>
        <w:rPr>
          <w:rFonts w:ascii="宋体" w:hAnsi="宋体"/>
          <w:b/>
          <w:sz w:val="24"/>
        </w:rPr>
      </w:pPr>
      <w:r>
        <w:rPr>
          <w:rFonts w:hint="eastAsia" w:ascii="宋体" w:hAnsi="宋体"/>
          <w:b/>
          <w:sz w:val="24"/>
        </w:rPr>
        <w:t>四、质量要求</w:t>
      </w:r>
    </w:p>
    <w:p w14:paraId="143A9712">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14:paraId="6CDFF5AB">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14:paraId="1B121600">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33D798DD">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14:paraId="09B0E7A0">
      <w:pPr>
        <w:widowControl/>
        <w:spacing w:line="360" w:lineRule="auto"/>
        <w:jc w:val="left"/>
        <w:rPr>
          <w:b/>
          <w:sz w:val="24"/>
        </w:rPr>
      </w:pPr>
    </w:p>
    <w:p w14:paraId="2D78F3B5">
      <w:pPr>
        <w:widowControl/>
        <w:spacing w:line="360" w:lineRule="auto"/>
        <w:ind w:left="2048" w:hanging="2048"/>
        <w:jc w:val="left"/>
        <w:rPr>
          <w:b/>
          <w:sz w:val="24"/>
        </w:rPr>
      </w:pPr>
      <w:r>
        <w:rPr>
          <w:rFonts w:hint="eastAsia"/>
          <w:b/>
          <w:sz w:val="24"/>
        </w:rPr>
        <w:t>五、服务要求</w:t>
      </w:r>
    </w:p>
    <w:p w14:paraId="06A93C7E">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、按项目</w:t>
      </w:r>
      <w:r>
        <w:rPr>
          <w:rFonts w:asciiTheme="minorEastAsia" w:hAnsiTheme="minorEastAsia" w:eastAsiaTheme="minorEastAsia"/>
        </w:rPr>
        <w:t>要求提供质保</w:t>
      </w:r>
      <w:r>
        <w:rPr>
          <w:rFonts w:hint="eastAsia" w:asciiTheme="minorEastAsia" w:hAnsiTheme="minorEastAsia" w:eastAsiaTheme="minorEastAsia"/>
        </w:rPr>
        <w:t>，若国家或生产厂家对本项目所涉及货物质量保证期的规定高于本项目的要求，应按国家或生产厂家的规定执行。</w:t>
      </w:r>
    </w:p>
    <w:p w14:paraId="1C2F1D59">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14:paraId="329AE8B6">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3、在免费维护期内，乙方提供技术支持和指导，故障情况下的现场问题解决。</w:t>
      </w:r>
    </w:p>
    <w:p w14:paraId="430F2A85">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，到达现场时间为4</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需在12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内排出故障</w:t>
      </w:r>
      <w:r>
        <w:rPr>
          <w:rFonts w:hint="eastAsia" w:cs="宋体" w:asciiTheme="minorEastAsia" w:hAnsiTheme="minorEastAsia" w:eastAsiaTheme="minorEastAsia"/>
          <w:szCs w:val="21"/>
        </w:rPr>
        <w:t>；如果不能排除故障，则需提供相同规格的产品作为代用品，直至故障排除。</w:t>
      </w:r>
    </w:p>
    <w:p w14:paraId="5D98A42F">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14:paraId="2A910E16">
      <w:pPr>
        <w:widowControl/>
        <w:spacing w:line="360" w:lineRule="auto"/>
        <w:jc w:val="left"/>
        <w:rPr>
          <w:b/>
          <w:sz w:val="24"/>
        </w:rPr>
      </w:pPr>
    </w:p>
    <w:p w14:paraId="47227710">
      <w:pPr>
        <w:widowControl/>
        <w:spacing w:line="384" w:lineRule="auto"/>
        <w:jc w:val="left"/>
        <w:rPr>
          <w:sz w:val="24"/>
        </w:rPr>
      </w:pPr>
      <w:r>
        <w:rPr>
          <w:rFonts w:hint="eastAsia"/>
          <w:b/>
          <w:sz w:val="24"/>
        </w:rPr>
        <w:t>六、验收与结算</w:t>
      </w:r>
    </w:p>
    <w:p w14:paraId="4381575C">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14:paraId="5AADF870">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14:paraId="61ED3984">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14:paraId="242701FD">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B576">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14:paraId="38491E8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NDExYjZhN2I2NjM1MGU3OTY1OTUyYTRmNjU3NTM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16996AB1"/>
    <w:rsid w:val="308E426C"/>
    <w:rsid w:val="33202FF1"/>
    <w:rsid w:val="3547008D"/>
    <w:rsid w:val="381F7624"/>
    <w:rsid w:val="5C7727E9"/>
    <w:rsid w:val="61960834"/>
    <w:rsid w:val="73A23CF3"/>
    <w:rsid w:val="74014D3F"/>
    <w:rsid w:val="7980534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qFormat/>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styleId="20">
    <w:name w:val="List Paragraph"/>
    <w:basedOn w:val="1"/>
    <w:qFormat/>
    <w:uiPriority w:val="34"/>
    <w:pPr>
      <w:ind w:firstLine="420" w:firstLineChars="200"/>
    </w:pPr>
  </w:style>
  <w:style w:type="character" w:customStyle="1" w:styleId="21">
    <w:name w:val="font41"/>
    <w:basedOn w:val="12"/>
    <w:qFormat/>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1718</Words>
  <Characters>2103</Characters>
  <Lines>15</Lines>
  <Paragraphs>4</Paragraphs>
  <TotalTime>0</TotalTime>
  <ScaleCrop>false</ScaleCrop>
  <LinksUpToDate>false</LinksUpToDate>
  <CharactersWithSpaces>2126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孟伶俊</cp:lastModifiedBy>
  <cp:lastPrinted>2023-12-14T10:29:00Z</cp:lastPrinted>
  <dcterms:modified xsi:type="dcterms:W3CDTF">2024-10-22T09:34:52Z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2C75BE3C294C4FBD99F1D1892FDCF162</vt:lpwstr>
  </property>
</Properties>
</file>