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3A506">
      <w:pPr>
        <w:pStyle w:val="11"/>
        <w:outlineLvl w:val="0"/>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val="en-US" w:eastAsia="zh-CN"/>
        </w:rPr>
        <w:t>项目需求</w:t>
      </w:r>
    </w:p>
    <w:p w14:paraId="19BBC724">
      <w:pPr>
        <w:spacing w:line="360" w:lineRule="auto"/>
        <w:rPr>
          <w:b/>
          <w:szCs w:val="21"/>
        </w:rPr>
      </w:pPr>
    </w:p>
    <w:p w14:paraId="081BF92E">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一</w:t>
      </w:r>
      <w:r>
        <w:rPr>
          <w:rFonts w:ascii="宋体" w:hAnsi="宋体" w:cs="宋体"/>
          <w:b/>
          <w:sz w:val="24"/>
          <w:szCs w:val="28"/>
        </w:rPr>
        <w:t>、</w:t>
      </w:r>
      <w:r>
        <w:rPr>
          <w:rFonts w:hint="eastAsia" w:ascii="宋体" w:hAnsi="宋体" w:cs="宋体"/>
          <w:b/>
          <w:sz w:val="24"/>
          <w:szCs w:val="28"/>
        </w:rPr>
        <w:t>项目概况</w:t>
      </w:r>
    </w:p>
    <w:p w14:paraId="58339CB8">
      <w:pPr>
        <w:spacing w:line="360" w:lineRule="auto"/>
        <w:ind w:firstLine="420" w:firstLineChars="200"/>
        <w:rPr>
          <w:rFonts w:ascii="宋体" w:hAnsi="宋体"/>
          <w:szCs w:val="21"/>
        </w:rPr>
      </w:pPr>
      <w:r>
        <w:rPr>
          <w:rFonts w:hint="eastAsia" w:ascii="宋体" w:hAnsi="宋体"/>
          <w:szCs w:val="21"/>
        </w:rPr>
        <w:t>1、项目名称：中山市中医院2024年-2027年度消防系统维护保养服务项目</w:t>
      </w:r>
    </w:p>
    <w:p w14:paraId="6E83BCDC">
      <w:pPr>
        <w:spacing w:line="360" w:lineRule="auto"/>
        <w:ind w:firstLine="420" w:firstLineChars="200"/>
        <w:rPr>
          <w:rFonts w:ascii="宋体" w:hAnsi="宋体"/>
          <w:szCs w:val="21"/>
        </w:rPr>
      </w:pPr>
      <w:r>
        <w:rPr>
          <w:rFonts w:hint="eastAsia" w:ascii="宋体" w:hAnsi="宋体"/>
          <w:szCs w:val="21"/>
        </w:rPr>
        <w:t>2、项目内容：中山市中医院消防系统维护保养项目，包括本部院区、悦来门诊（含地下室）、老干门诊。本</w:t>
      </w:r>
      <w:r>
        <w:rPr>
          <w:rFonts w:hint="eastAsia"/>
          <w:color w:val="000000"/>
          <w:szCs w:val="21"/>
        </w:rPr>
        <w:t>院区最高楼层19层，占地面积2</w:t>
      </w:r>
      <w:r>
        <w:rPr>
          <w:color w:val="000000"/>
          <w:szCs w:val="21"/>
        </w:rPr>
        <w:t>00</w:t>
      </w:r>
      <w:r>
        <w:rPr>
          <w:rFonts w:hint="eastAsia"/>
          <w:color w:val="000000"/>
          <w:szCs w:val="21"/>
        </w:rPr>
        <w:t>亩， 总建筑面积约2</w:t>
      </w:r>
      <w:r>
        <w:rPr>
          <w:color w:val="000000"/>
          <w:szCs w:val="21"/>
        </w:rPr>
        <w:t>6</w:t>
      </w:r>
      <w:r>
        <w:rPr>
          <w:rFonts w:hint="eastAsia"/>
          <w:color w:val="000000"/>
          <w:szCs w:val="21"/>
        </w:rPr>
        <w:t>万平方米，</w:t>
      </w:r>
      <w:r>
        <w:rPr>
          <w:rFonts w:hint="eastAsia" w:ascii="宋体" w:hAnsi="宋体"/>
          <w:szCs w:val="21"/>
        </w:rPr>
        <w:t>悦来门诊、老干门诊建筑面积共约18000平方米。</w:t>
      </w:r>
    </w:p>
    <w:p w14:paraId="7ACC14BF">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3、项目预算：1</w:t>
      </w:r>
      <w:r>
        <w:rPr>
          <w:rFonts w:hint="eastAsia" w:ascii="宋体" w:hAnsi="宋体" w:cs="宋体"/>
          <w:szCs w:val="21"/>
          <w:lang w:val="en-US" w:eastAsia="zh-CN"/>
        </w:rPr>
        <w:t>98.9</w:t>
      </w:r>
      <w:bookmarkStart w:id="0" w:name="_GoBack"/>
      <w:bookmarkEnd w:id="0"/>
      <w:r>
        <w:rPr>
          <w:rFonts w:hint="eastAsia" w:ascii="宋体" w:hAnsi="宋体" w:cs="宋体"/>
          <w:szCs w:val="21"/>
        </w:rPr>
        <w:t>万元</w:t>
      </w:r>
    </w:p>
    <w:p w14:paraId="3062D9B4">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4、服务期限：三年</w:t>
      </w:r>
    </w:p>
    <w:p w14:paraId="7CE945A9">
      <w:pPr>
        <w:shd w:val="clear" w:color="auto" w:fill="FFFFFF"/>
        <w:tabs>
          <w:tab w:val="left" w:pos="720"/>
        </w:tabs>
        <w:snapToGrid w:val="0"/>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、设备明细：见附件</w:t>
      </w:r>
    </w:p>
    <w:p w14:paraId="0CBEE88D">
      <w:pPr>
        <w:shd w:val="clear" w:color="auto" w:fill="FFFFFF"/>
        <w:tabs>
          <w:tab w:val="left" w:pos="720"/>
        </w:tabs>
        <w:snapToGrid w:val="0"/>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、报价要求：报价包含但不限于</w:t>
      </w:r>
      <w:r>
        <w:rPr>
          <w:rFonts w:ascii="宋体" w:hAnsi="宋体" w:cs="宋体"/>
          <w:szCs w:val="21"/>
        </w:rPr>
        <w:t>维</w:t>
      </w:r>
      <w:r>
        <w:rPr>
          <w:rFonts w:hAnsi="宋体" w:cs="仿宋_GB2312"/>
          <w:color w:val="000000"/>
          <w:szCs w:val="21"/>
        </w:rPr>
        <w:t>修保养人工费</w:t>
      </w:r>
      <w:r>
        <w:rPr>
          <w:rFonts w:hint="eastAsia" w:hAnsi="宋体" w:cs="仿宋_GB2312"/>
          <w:color w:val="000000"/>
          <w:szCs w:val="21"/>
        </w:rPr>
        <w:t>（含工资、医疗、工伤及教育培训费、保险、防护用品、处理一切伤亡事故等费用）</w:t>
      </w:r>
      <w:r>
        <w:rPr>
          <w:rFonts w:hAnsi="宋体" w:cs="仿宋_GB2312"/>
          <w:color w:val="000000"/>
          <w:szCs w:val="21"/>
        </w:rPr>
        <w:t>、</w:t>
      </w:r>
      <w:r>
        <w:rPr>
          <w:rFonts w:hint="eastAsia" w:hAnsi="宋体" w:cs="仿宋_GB2312"/>
          <w:color w:val="000000"/>
          <w:szCs w:val="21"/>
        </w:rPr>
        <w:t>维修配件及材料费用</w:t>
      </w:r>
      <w:r>
        <w:rPr>
          <w:rFonts w:hint="eastAsia" w:hAnsi="宋体" w:cs="仿宋_GB2312"/>
          <w:szCs w:val="21"/>
        </w:rPr>
        <w:t>、年度检测费、</w:t>
      </w:r>
      <w:r>
        <w:rPr>
          <w:rFonts w:hAnsi="宋体" w:cs="仿宋_GB2312"/>
          <w:szCs w:val="21"/>
        </w:rPr>
        <w:t>设备工具使用费、交通运输费</w:t>
      </w:r>
      <w:r>
        <w:rPr>
          <w:rFonts w:hint="eastAsia" w:hAnsi="宋体" w:cs="仿宋_GB2312"/>
          <w:szCs w:val="21"/>
        </w:rPr>
        <w:t>、智</w:t>
      </w:r>
      <w:r>
        <w:rPr>
          <w:rFonts w:hint="eastAsia" w:ascii="宋体" w:hAnsi="宋体" w:cs="宋体"/>
          <w:szCs w:val="21"/>
        </w:rPr>
        <w:t>慧消防软件平台建设费</w:t>
      </w:r>
      <w:r>
        <w:rPr>
          <w:rFonts w:ascii="宋体" w:hAnsi="宋体" w:cs="宋体"/>
          <w:szCs w:val="21"/>
        </w:rPr>
        <w:t>等</w:t>
      </w:r>
      <w:r>
        <w:rPr>
          <w:rFonts w:hint="eastAsia" w:ascii="宋体" w:hAnsi="宋体" w:cs="宋体"/>
          <w:szCs w:val="21"/>
        </w:rPr>
        <w:t>。</w:t>
      </w:r>
    </w:p>
    <w:p w14:paraId="289318F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 xml:space="preserve"> 7、除以下情形外，所有本项目维保范围内涉及到的配件、备件均由中标人承担：</w:t>
      </w:r>
    </w:p>
    <w:p w14:paraId="4532DF9B">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（1）灭火器、防毒面具、七氟丙烷灭火剂及气瓶等具有使用年限的材料；</w:t>
      </w:r>
    </w:p>
    <w:p w14:paraId="5D81E12E">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（2）消防水泵、消防风机、消防主机、消防水箱的更换；</w:t>
      </w:r>
    </w:p>
    <w:p w14:paraId="7CE05C14">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）本项目外的设备增加、设备改造、院内局部装修的消防整改工程费用；</w:t>
      </w:r>
    </w:p>
    <w:p w14:paraId="20F77EB3">
      <w:pPr>
        <w:tabs>
          <w:tab w:val="left" w:pos="0"/>
          <w:tab w:val="left" w:pos="720"/>
        </w:tabs>
        <w:spacing w:line="360" w:lineRule="auto"/>
        <w:outlineLvl w:val="1"/>
        <w:rPr>
          <w:rFonts w:ascii="宋体" w:hAnsi="宋体" w:cs="宋体"/>
          <w:b/>
          <w:sz w:val="24"/>
          <w:szCs w:val="28"/>
        </w:rPr>
      </w:pPr>
    </w:p>
    <w:p w14:paraId="5F93EE9E">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二</w:t>
      </w:r>
      <w:r>
        <w:rPr>
          <w:rFonts w:ascii="宋体" w:hAnsi="宋体" w:cs="宋体"/>
          <w:b/>
          <w:sz w:val="24"/>
          <w:szCs w:val="28"/>
        </w:rPr>
        <w:t>、</w:t>
      </w:r>
      <w:r>
        <w:rPr>
          <w:rFonts w:hint="eastAsia" w:ascii="宋体" w:hAnsi="宋体" w:cs="宋体"/>
          <w:b/>
          <w:sz w:val="24"/>
          <w:szCs w:val="28"/>
        </w:rPr>
        <w:t>项目范围</w:t>
      </w:r>
    </w:p>
    <w:p w14:paraId="427F9D9E">
      <w:pPr>
        <w:shd w:val="clear" w:color="auto" w:fill="FFFFFF"/>
        <w:tabs>
          <w:tab w:val="left" w:pos="720"/>
        </w:tabs>
        <w:snapToGrid w:val="0"/>
        <w:spacing w:line="360" w:lineRule="auto"/>
        <w:ind w:firstLine="422" w:firstLineChars="200"/>
        <w:rPr>
          <w:rFonts w:ascii="宋体" w:hAnsi="宋体" w:cs="宋体"/>
          <w:b/>
          <w:szCs w:val="21"/>
        </w:rPr>
      </w:pPr>
      <w:r>
        <w:rPr>
          <w:rFonts w:hint="eastAsia" w:ascii="宋体" w:hAnsi="宋体" w:cs="宋体"/>
          <w:b/>
          <w:szCs w:val="21"/>
        </w:rPr>
        <w:t>1.消防栓系统</w:t>
      </w:r>
    </w:p>
    <w:p w14:paraId="0DEC8E1F">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（1）消防水泵</w:t>
      </w:r>
    </w:p>
    <w:p w14:paraId="6BE151D8">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（2）室内、外消防栓</w:t>
      </w:r>
    </w:p>
    <w:p w14:paraId="7F73C69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（3）系统管道及控制阀门</w:t>
      </w:r>
    </w:p>
    <w:p w14:paraId="5F09137E">
      <w:pPr>
        <w:shd w:val="clear" w:color="auto" w:fill="FFFFFF"/>
        <w:tabs>
          <w:tab w:val="left" w:pos="720"/>
        </w:tabs>
        <w:snapToGrid w:val="0"/>
        <w:spacing w:line="360" w:lineRule="auto"/>
        <w:ind w:firstLine="422" w:firstLineChars="200"/>
        <w:rPr>
          <w:rFonts w:ascii="宋体" w:hAnsi="宋体" w:cs="宋体"/>
          <w:b/>
          <w:szCs w:val="21"/>
        </w:rPr>
      </w:pPr>
      <w:r>
        <w:rPr>
          <w:rFonts w:hint="eastAsia" w:ascii="宋体" w:hAnsi="宋体" w:cs="宋体"/>
          <w:b/>
          <w:szCs w:val="21"/>
        </w:rPr>
        <w:t>2.喷淋系统</w:t>
      </w:r>
    </w:p>
    <w:p w14:paraId="3BE4FC6B">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（1）喷淋水泵</w:t>
      </w:r>
    </w:p>
    <w:p w14:paraId="1B742B70">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（2）系统管道及控制阀门</w:t>
      </w:r>
    </w:p>
    <w:p w14:paraId="47E9BA83">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（3）水流指示器</w:t>
      </w:r>
    </w:p>
    <w:p w14:paraId="554864F8">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（4）湿式报警阀</w:t>
      </w:r>
    </w:p>
    <w:p w14:paraId="7D83227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（5）水力警铃</w:t>
      </w:r>
    </w:p>
    <w:p w14:paraId="37084F80">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（6）喷淋头</w:t>
      </w:r>
    </w:p>
    <w:p w14:paraId="32B5BAD9">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（7）自动水喷淋、高空水炮灭火系统</w:t>
      </w:r>
    </w:p>
    <w:p w14:paraId="00CCF55C">
      <w:pPr>
        <w:shd w:val="clear" w:color="auto" w:fill="FFFFFF"/>
        <w:tabs>
          <w:tab w:val="left" w:pos="720"/>
        </w:tabs>
        <w:snapToGrid w:val="0"/>
        <w:spacing w:line="360" w:lineRule="auto"/>
        <w:ind w:firstLine="422" w:firstLineChars="200"/>
        <w:rPr>
          <w:rFonts w:ascii="宋体" w:hAnsi="宋体" w:cs="宋体"/>
          <w:b/>
          <w:szCs w:val="21"/>
        </w:rPr>
      </w:pPr>
      <w:r>
        <w:rPr>
          <w:rFonts w:hint="eastAsia" w:ascii="宋体" w:hAnsi="宋体" w:cs="宋体"/>
          <w:b/>
          <w:szCs w:val="21"/>
        </w:rPr>
        <w:t>3.火灾自动报警系统</w:t>
      </w:r>
    </w:p>
    <w:p w14:paraId="0A3539AD">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（1）消防报警控制主机</w:t>
      </w:r>
    </w:p>
    <w:p w14:paraId="1705D679">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）各种探测器、模块</w:t>
      </w:r>
    </w:p>
    <w:p w14:paraId="05538CE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）信号及控制线路</w:t>
      </w:r>
    </w:p>
    <w:p w14:paraId="304B8BC9">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）警铃及报警按钮等周边设施</w:t>
      </w:r>
    </w:p>
    <w:p w14:paraId="749EE277">
      <w:pPr>
        <w:shd w:val="clear" w:color="auto" w:fill="FFFFFF"/>
        <w:tabs>
          <w:tab w:val="left" w:pos="720"/>
        </w:tabs>
        <w:snapToGrid w:val="0"/>
        <w:spacing w:line="360" w:lineRule="auto"/>
        <w:ind w:firstLine="422" w:firstLineChars="200"/>
        <w:rPr>
          <w:rFonts w:ascii="宋体" w:hAnsi="宋体" w:cs="宋体"/>
          <w:b/>
          <w:szCs w:val="21"/>
        </w:rPr>
      </w:pPr>
      <w:r>
        <w:rPr>
          <w:rFonts w:hint="eastAsia" w:ascii="宋体" w:hAnsi="宋体" w:cs="宋体"/>
          <w:b/>
          <w:szCs w:val="21"/>
        </w:rPr>
        <w:t>4.气体灭火系统</w:t>
      </w:r>
    </w:p>
    <w:p w14:paraId="00670AEA">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（1）报警主机</w:t>
      </w:r>
    </w:p>
    <w:p w14:paraId="38812E61">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）系统线路、探测器、警铃等设备</w:t>
      </w:r>
    </w:p>
    <w:p w14:paraId="650148E5">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）系统管道</w:t>
      </w:r>
    </w:p>
    <w:p w14:paraId="3BD43B5F">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）手动、自动转换装置及报警器</w:t>
      </w:r>
    </w:p>
    <w:p w14:paraId="552523F1">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）气瓶</w:t>
      </w:r>
    </w:p>
    <w:p w14:paraId="383D32E5">
      <w:pPr>
        <w:shd w:val="clear" w:color="auto" w:fill="FFFFFF"/>
        <w:tabs>
          <w:tab w:val="left" w:pos="720"/>
        </w:tabs>
        <w:snapToGrid w:val="0"/>
        <w:spacing w:line="360" w:lineRule="auto"/>
        <w:ind w:firstLine="422" w:firstLineChars="200"/>
        <w:rPr>
          <w:rFonts w:ascii="宋体" w:hAnsi="宋体" w:cs="宋体"/>
          <w:b/>
          <w:szCs w:val="21"/>
        </w:rPr>
      </w:pPr>
      <w:r>
        <w:rPr>
          <w:rFonts w:hint="eastAsia" w:ascii="宋体" w:hAnsi="宋体" w:cs="宋体"/>
          <w:b/>
          <w:szCs w:val="21"/>
        </w:rPr>
        <w:t>5.其他消防设备</w:t>
      </w:r>
    </w:p>
    <w:p w14:paraId="20E611D8">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（1）防火门及防火卷帘</w:t>
      </w:r>
    </w:p>
    <w:p w14:paraId="42218E55">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（2）消防安全出口指示灯、消防应急照明灯</w:t>
      </w:r>
    </w:p>
    <w:p w14:paraId="59065DFB">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（3）消防排烟系统</w:t>
      </w:r>
    </w:p>
    <w:p w14:paraId="3A9D3A3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（4）消防广播系统</w:t>
      </w:r>
    </w:p>
    <w:p w14:paraId="3F8C891E">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（5）自动式灭火设备（如悬挂式七氟丙烷灭火器）</w:t>
      </w:r>
    </w:p>
    <w:p w14:paraId="09525B39">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（6）手动式灭火设备（如手提式干粉灭火器）</w:t>
      </w:r>
    </w:p>
    <w:p w14:paraId="439C1CA5">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（7）其他消防防火设备</w:t>
      </w:r>
    </w:p>
    <w:p w14:paraId="0BCE4F2D">
      <w:pPr>
        <w:pStyle w:val="2"/>
      </w:pPr>
    </w:p>
    <w:p w14:paraId="3E564C1D">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三、服务内容</w:t>
      </w:r>
    </w:p>
    <w:p w14:paraId="7A4C9003">
      <w:pPr>
        <w:spacing w:line="360" w:lineRule="auto"/>
        <w:ind w:firstLine="420" w:firstLineChars="200"/>
        <w:rPr>
          <w:rFonts w:ascii="宋体" w:hAnsi="宋体"/>
          <w:szCs w:val="21"/>
        </w:rPr>
      </w:pPr>
      <w:r>
        <w:rPr>
          <w:rFonts w:hint="eastAsia" w:ascii="宋体" w:hAnsi="宋体"/>
          <w:szCs w:val="21"/>
        </w:rPr>
        <w:t>1、紧急维修</w:t>
      </w:r>
    </w:p>
    <w:p w14:paraId="58B60A93">
      <w:pPr>
        <w:spacing w:line="360" w:lineRule="auto"/>
        <w:ind w:firstLine="420" w:firstLineChars="200"/>
        <w:rPr>
          <w:rFonts w:ascii="宋体" w:hAnsi="宋体"/>
          <w:szCs w:val="21"/>
        </w:rPr>
      </w:pPr>
      <w:r>
        <w:rPr>
          <w:rFonts w:hint="eastAsia" w:ascii="宋体" w:hAnsi="宋体"/>
          <w:szCs w:val="21"/>
        </w:rPr>
        <w:t>消防系统出现紧急情况，保养人员要求第一时间（正常上班时间不超</w:t>
      </w:r>
      <w:r>
        <w:rPr>
          <w:rFonts w:ascii="宋体" w:hAnsi="宋体"/>
          <w:szCs w:val="21"/>
        </w:rPr>
        <w:t>5</w:t>
      </w:r>
      <w:r>
        <w:rPr>
          <w:rFonts w:hint="eastAsia" w:ascii="宋体" w:hAnsi="宋体"/>
          <w:szCs w:val="21"/>
        </w:rPr>
        <w:t>分钟，其余时间不超20分钟）赶到现场，进行应急处理或紧急维护，并在事后记录有关情况的全过程。</w:t>
      </w:r>
    </w:p>
    <w:p w14:paraId="2BE6880F">
      <w:pPr>
        <w:spacing w:line="360" w:lineRule="auto"/>
        <w:ind w:firstLine="420" w:firstLineChars="200"/>
        <w:rPr>
          <w:rFonts w:ascii="宋体" w:hAnsi="宋体"/>
          <w:szCs w:val="21"/>
        </w:rPr>
      </w:pPr>
      <w:r>
        <w:rPr>
          <w:rFonts w:hint="eastAsia" w:ascii="宋体" w:hAnsi="宋体"/>
          <w:szCs w:val="21"/>
        </w:rPr>
        <w:t>2、日常维护保养</w:t>
      </w:r>
    </w:p>
    <w:p w14:paraId="502BE94E">
      <w:pPr>
        <w:spacing w:line="360" w:lineRule="auto"/>
        <w:ind w:firstLine="420" w:firstLineChars="200"/>
        <w:rPr>
          <w:rFonts w:ascii="宋体" w:hAnsi="宋体"/>
          <w:szCs w:val="21"/>
        </w:rPr>
      </w:pPr>
      <w:r>
        <w:rPr>
          <w:rFonts w:hint="eastAsia" w:ascii="宋体" w:hAnsi="宋体"/>
          <w:szCs w:val="21"/>
        </w:rPr>
        <w:t>（1）每天对各类消防设备进行常规检查，及时修正完善消防系统资料，登记并及时维修出现故障的设施设备。</w:t>
      </w:r>
    </w:p>
    <w:p w14:paraId="6EDAF44C">
      <w:pPr>
        <w:spacing w:line="360" w:lineRule="auto"/>
        <w:ind w:firstLine="420" w:firstLineChars="200"/>
        <w:rPr>
          <w:rFonts w:ascii="宋体" w:hAnsi="宋体"/>
          <w:szCs w:val="21"/>
        </w:rPr>
      </w:pPr>
      <w:r>
        <w:rPr>
          <w:rFonts w:hint="eastAsia" w:ascii="宋体" w:hAnsi="宋体"/>
          <w:szCs w:val="21"/>
        </w:rPr>
        <w:t>（2）每月按消防部门要求对消防设施设备进行维护保养（包括检查、检测、测试），并于次月</w:t>
      </w:r>
      <w:r>
        <w:rPr>
          <w:rFonts w:ascii="宋体" w:hAnsi="宋体"/>
          <w:szCs w:val="21"/>
        </w:rPr>
        <w:t>5日前提交月度消防设施维保报告（一式五份）</w:t>
      </w:r>
      <w:r>
        <w:rPr>
          <w:rFonts w:hint="eastAsia" w:ascii="宋体" w:hAnsi="宋体"/>
          <w:szCs w:val="21"/>
        </w:rPr>
        <w:t>，每一季度的维护保养需覆盖全院所有设备设施</w:t>
      </w:r>
      <w:r>
        <w:rPr>
          <w:rFonts w:ascii="宋体" w:hAnsi="宋体"/>
          <w:szCs w:val="21"/>
        </w:rPr>
        <w:t>。</w:t>
      </w:r>
    </w:p>
    <w:p w14:paraId="16151C98">
      <w:pPr>
        <w:spacing w:line="360" w:lineRule="auto"/>
        <w:ind w:firstLine="420" w:firstLineChars="200"/>
        <w:rPr>
          <w:rFonts w:ascii="宋体" w:hAnsi="宋体"/>
          <w:szCs w:val="21"/>
        </w:rPr>
      </w:pPr>
      <w:r>
        <w:rPr>
          <w:rFonts w:hint="eastAsia" w:ascii="宋体" w:hAnsi="宋体"/>
          <w:szCs w:val="21"/>
        </w:rPr>
        <w:t>（3）每月对各类灭火器、消防栓进行一次检查签名并更换封条，确保灭火设施能正常使用。</w:t>
      </w:r>
    </w:p>
    <w:p w14:paraId="5C076D3A">
      <w:pPr>
        <w:spacing w:line="360" w:lineRule="auto"/>
        <w:ind w:firstLine="420" w:firstLineChars="200"/>
        <w:rPr>
          <w:rFonts w:ascii="宋体" w:hAnsi="宋体"/>
          <w:szCs w:val="21"/>
        </w:rPr>
      </w:pPr>
      <w:r>
        <w:rPr>
          <w:rFonts w:hint="eastAsia" w:ascii="宋体" w:hAnsi="宋体"/>
          <w:szCs w:val="21"/>
        </w:rPr>
        <w:t>（4）每月对排烟机房、自动灭火气体机房进行一次检查签名并清理机房内灰尘及杂物，确保机房整洁卫生及设备能正常使用。</w:t>
      </w:r>
    </w:p>
    <w:p w14:paraId="2EC3C3D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每一个维保年度结束后，服务商需向采购人提交年度维护保养、设备整体运行状况报告，内容包括：消防设施各系统的运行情况、年度维护保养和检查记录、消防设施各系统稳定性和可靠性分析、陈述系统的状况、性能、以及设备因老化可能出现的隐患及防范措施、保证消防设施正常运转的建议等。</w:t>
      </w:r>
    </w:p>
    <w:p w14:paraId="773E4130">
      <w:pPr>
        <w:spacing w:line="360" w:lineRule="auto"/>
        <w:ind w:firstLine="420" w:firstLineChars="200"/>
        <w:rPr>
          <w:rFonts w:ascii="宋体" w:hAnsi="宋体"/>
          <w:szCs w:val="21"/>
        </w:rPr>
      </w:pPr>
      <w:r>
        <w:rPr>
          <w:rFonts w:hint="eastAsia"/>
        </w:rPr>
        <w:t>（6）按行业要求完成其他消防设施设备的日常维护保养工作。</w:t>
      </w:r>
    </w:p>
    <w:p w14:paraId="03253D91">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hAnsi="宋体"/>
          <w:szCs w:val="21"/>
        </w:rPr>
        <w:t>智慧消防安全监测系统建设</w:t>
      </w:r>
    </w:p>
    <w:p w14:paraId="5509B9A3">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为</w:t>
      </w:r>
      <w:r>
        <w:rPr>
          <w:rFonts w:ascii="宋体" w:hAnsi="宋体" w:cs="宋体"/>
          <w:szCs w:val="21"/>
        </w:rPr>
        <w:t>提高火灾防控能力和应急响应速度</w:t>
      </w:r>
      <w:r>
        <w:rPr>
          <w:rFonts w:hint="eastAsia" w:ascii="宋体" w:hAnsi="宋体" w:cs="宋体"/>
          <w:szCs w:val="21"/>
        </w:rPr>
        <w:t>，中标人需在中医院本部加装一台服务器，并在服务器上部署配套的智慧消防监测系统（此系统所有权归医院所有）。将现有</w:t>
      </w:r>
      <w:r>
        <w:rPr>
          <w:rFonts w:ascii="宋体" w:hAnsi="宋体" w:cs="宋体"/>
          <w:szCs w:val="21"/>
        </w:rPr>
        <w:t>9</w:t>
      </w:r>
      <w:r>
        <w:rPr>
          <w:rFonts w:hint="eastAsia" w:ascii="宋体" w:hAnsi="宋体" w:cs="宋体"/>
          <w:szCs w:val="21"/>
        </w:rPr>
        <w:t>台海湾消防主机接入系统（需提供消防物联网网关及通讯板等系统配套）</w:t>
      </w:r>
      <w:r>
        <w:rPr>
          <w:rFonts w:ascii="宋体" w:hAnsi="宋体" w:cs="宋体"/>
          <w:szCs w:val="21"/>
        </w:rPr>
        <w:t>，实时</w:t>
      </w:r>
      <w:r>
        <w:rPr>
          <w:rFonts w:hint="eastAsia" w:ascii="宋体" w:hAnsi="宋体" w:cs="宋体"/>
          <w:szCs w:val="21"/>
        </w:rPr>
        <w:t>监测医院</w:t>
      </w:r>
      <w:r>
        <w:rPr>
          <w:rFonts w:ascii="宋体" w:hAnsi="宋体" w:cs="宋体"/>
          <w:szCs w:val="21"/>
        </w:rPr>
        <w:t>各建筑</w:t>
      </w:r>
      <w:r>
        <w:rPr>
          <w:rFonts w:hint="eastAsia" w:ascii="宋体" w:hAnsi="宋体" w:cs="宋体"/>
          <w:szCs w:val="21"/>
        </w:rPr>
        <w:t>消防报警系统的火警、动作、故障及联动反馈</w:t>
      </w:r>
      <w:r>
        <w:rPr>
          <w:rFonts w:ascii="宋体" w:hAnsi="宋体" w:cs="宋体"/>
          <w:szCs w:val="21"/>
        </w:rPr>
        <w:t>信号</w:t>
      </w:r>
      <w:r>
        <w:rPr>
          <w:rFonts w:hint="eastAsia" w:ascii="宋体" w:hAnsi="宋体" w:cs="宋体"/>
          <w:szCs w:val="21"/>
        </w:rPr>
        <w:t>等</w:t>
      </w:r>
      <w:r>
        <w:rPr>
          <w:rFonts w:ascii="宋体" w:hAnsi="宋体" w:cs="宋体"/>
          <w:szCs w:val="21"/>
        </w:rPr>
        <w:t>，对火灾</w:t>
      </w:r>
      <w:r>
        <w:rPr>
          <w:rFonts w:hint="eastAsia" w:ascii="宋体" w:hAnsi="宋体" w:cs="宋体"/>
          <w:szCs w:val="21"/>
        </w:rPr>
        <w:t>事故</w:t>
      </w:r>
      <w:r>
        <w:rPr>
          <w:rFonts w:ascii="宋体" w:hAnsi="宋体" w:cs="宋体"/>
          <w:szCs w:val="21"/>
        </w:rPr>
        <w:t>和设施故障进行及时预警</w:t>
      </w:r>
      <w:r>
        <w:rPr>
          <w:rFonts w:hint="eastAsia" w:ascii="宋体" w:hAnsi="宋体" w:cs="宋体"/>
          <w:szCs w:val="21"/>
        </w:rPr>
        <w:t>，同时支持后续对其他消防系统及设备设施的扩展接入监管</w:t>
      </w:r>
      <w:r>
        <w:rPr>
          <w:rFonts w:ascii="宋体" w:hAnsi="宋体" w:cs="宋体"/>
          <w:szCs w:val="21"/>
        </w:rPr>
        <w:t>。</w:t>
      </w:r>
    </w:p>
    <w:p w14:paraId="53DCF4EE">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）系统能对消防报警系统、消防给水及灭火系统等相关消防设施设备实际安装位置</w:t>
      </w:r>
      <w:r>
        <w:rPr>
          <w:rFonts w:ascii="宋体" w:hAnsi="宋体" w:cs="宋体"/>
          <w:szCs w:val="21"/>
        </w:rPr>
        <w:t>,</w:t>
      </w:r>
      <w:r>
        <w:rPr>
          <w:rFonts w:hint="eastAsia" w:ascii="宋体" w:hAnsi="宋体" w:cs="宋体"/>
          <w:szCs w:val="21"/>
        </w:rPr>
        <w:t>形</w:t>
      </w:r>
      <w:r>
        <w:rPr>
          <w:rFonts w:ascii="宋体" w:hAnsi="宋体" w:cs="宋体"/>
          <w:szCs w:val="21"/>
        </w:rPr>
        <w:t>成详细的图形化电子档案呈现。精确定点可视化后，为</w:t>
      </w:r>
      <w:r>
        <w:rPr>
          <w:rFonts w:hint="eastAsia" w:ascii="宋体" w:hAnsi="宋体" w:cs="宋体"/>
          <w:szCs w:val="21"/>
        </w:rPr>
        <w:t>医院</w:t>
      </w:r>
      <w:r>
        <w:rPr>
          <w:rFonts w:ascii="宋体" w:hAnsi="宋体" w:cs="宋体"/>
          <w:szCs w:val="21"/>
        </w:rPr>
        <w:t>在安全管理、日常巡查、</w:t>
      </w:r>
      <w:r>
        <w:rPr>
          <w:rFonts w:hint="eastAsia" w:ascii="宋体" w:hAnsi="宋体" w:cs="宋体"/>
          <w:szCs w:val="21"/>
        </w:rPr>
        <w:t>维保过程检查、隐患预测预警、风险分析、疏散演练以及灭火救援提供系统支撑。</w:t>
      </w:r>
    </w:p>
    <w:p w14:paraId="4780C40B">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）系统具备消防设施设备管理功能，包括记录设备型号、生产日期、使用寿命，设定例行维保周期等；根据所录入的信息系统可实现消防设施设备到期自动提醒，保障消防系统的正常运转。</w:t>
      </w:r>
    </w:p>
    <w:p w14:paraId="127AEC7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）通过系统对消防管理及维保工作标准化记录，实现全过程痕迹化管理。</w:t>
      </w:r>
    </w:p>
    <w:p w14:paraId="4A2822B8">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）系统具备弹窗以及短信（或电话）报警功能，可根据分级管理范围，通知到相关负责人员进行消防复核和处警。</w:t>
      </w:r>
    </w:p>
    <w:p w14:paraId="58D181D3">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4、年度评估检测</w:t>
      </w:r>
    </w:p>
    <w:p w14:paraId="5B588E80">
      <w:pPr>
        <w:shd w:val="clear" w:color="auto" w:fill="FFFFFF"/>
        <w:tabs>
          <w:tab w:val="left" w:pos="720"/>
        </w:tabs>
        <w:snapToGrid w:val="0"/>
        <w:spacing w:line="360" w:lineRule="auto"/>
        <w:ind w:firstLine="420" w:firstLineChars="200"/>
        <w:rPr>
          <w:rFonts w:cs="仿宋_GB2312"/>
          <w:szCs w:val="21"/>
        </w:rPr>
      </w:pPr>
      <w:r>
        <w:rPr>
          <w:rFonts w:cs="仿宋_GB2312"/>
          <w:szCs w:val="21"/>
        </w:rPr>
        <w:t>每年</w:t>
      </w:r>
      <w:r>
        <w:rPr>
          <w:rFonts w:hint="eastAsia" w:cs="仿宋_GB2312"/>
          <w:szCs w:val="21"/>
        </w:rPr>
        <w:t>第四季度</w:t>
      </w:r>
      <w:r>
        <w:rPr>
          <w:rFonts w:cs="仿宋_GB2312"/>
          <w:szCs w:val="21"/>
        </w:rPr>
        <w:t>，</w:t>
      </w:r>
      <w:r>
        <w:rPr>
          <w:rFonts w:hint="eastAsia" w:cs="仿宋_GB2312"/>
          <w:szCs w:val="21"/>
        </w:rPr>
        <w:t>根据上级消防主管部门及行业管理规范聘请第三方公司，并协助第三方公司对全院的</w:t>
      </w:r>
      <w:r>
        <w:rPr>
          <w:rFonts w:cs="仿宋_GB2312"/>
          <w:szCs w:val="21"/>
        </w:rPr>
        <w:t>火灾自动报警系统、消火栓系统、喷淋系统、气体灭火系统</w:t>
      </w:r>
      <w:r>
        <w:rPr>
          <w:rFonts w:hint="eastAsia" w:cs="仿宋_GB2312"/>
          <w:szCs w:val="21"/>
        </w:rPr>
        <w:t>、其他消防设备系统等设施设备</w:t>
      </w:r>
      <w:r>
        <w:rPr>
          <w:rFonts w:cs="仿宋_GB2312"/>
          <w:szCs w:val="21"/>
        </w:rPr>
        <w:t>逐项进行检测</w:t>
      </w:r>
      <w:r>
        <w:rPr>
          <w:rFonts w:hint="eastAsia" w:cs="仿宋_GB2312"/>
          <w:szCs w:val="21"/>
        </w:rPr>
        <w:t>评估，并出示合法合规的评估或检测报告，检测费用由服务商支付。</w:t>
      </w:r>
    </w:p>
    <w:p w14:paraId="78C3D23F">
      <w:pPr>
        <w:tabs>
          <w:tab w:val="left" w:pos="0"/>
          <w:tab w:val="left" w:pos="720"/>
        </w:tabs>
        <w:spacing w:line="360" w:lineRule="auto"/>
        <w:outlineLvl w:val="1"/>
        <w:rPr>
          <w:rFonts w:ascii="宋体" w:hAnsi="宋体" w:cs="宋体"/>
          <w:b/>
          <w:sz w:val="24"/>
          <w:szCs w:val="28"/>
        </w:rPr>
      </w:pPr>
    </w:p>
    <w:p w14:paraId="35A0541B">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四、人员要求</w:t>
      </w:r>
    </w:p>
    <w:p w14:paraId="6315F151">
      <w:pPr>
        <w:shd w:val="clear" w:color="auto" w:fill="FFFFFF"/>
        <w:tabs>
          <w:tab w:val="left" w:pos="720"/>
        </w:tabs>
        <w:snapToGrid w:val="0"/>
        <w:spacing w:line="360" w:lineRule="auto"/>
        <w:ind w:firstLine="420" w:firstLineChars="200"/>
        <w:rPr>
          <w:rFonts w:cs="仿宋_GB2312"/>
          <w:szCs w:val="21"/>
        </w:rPr>
      </w:pPr>
      <w:r>
        <w:rPr>
          <w:rFonts w:hint="eastAsia" w:cs="仿宋_GB2312"/>
          <w:szCs w:val="21"/>
        </w:rPr>
        <w:t>1、服务商须委派专人对中山市中医院消防设备维护及检查。并遵守招标人的管理制度及配合相关主管人员安排，所有维护人员均持有政府相关职能部门颁发的《消防设施</w:t>
      </w:r>
      <w:r>
        <w:rPr>
          <w:rFonts w:cs="仿宋_GB2312"/>
          <w:szCs w:val="21"/>
        </w:rPr>
        <w:t>操作员证</w:t>
      </w:r>
      <w:r>
        <w:rPr>
          <w:rFonts w:hint="eastAsia" w:cs="仿宋_GB2312"/>
          <w:szCs w:val="21"/>
        </w:rPr>
        <w:t>》（消防设施检测维修保养方向）。</w:t>
      </w:r>
    </w:p>
    <w:p w14:paraId="0076F60A">
      <w:pPr>
        <w:shd w:val="clear" w:color="auto" w:fill="FFFFFF"/>
        <w:tabs>
          <w:tab w:val="left" w:pos="720"/>
        </w:tabs>
        <w:snapToGrid w:val="0"/>
        <w:spacing w:line="360" w:lineRule="auto"/>
        <w:ind w:firstLine="420" w:firstLineChars="200"/>
        <w:rPr>
          <w:rFonts w:cs="仿宋_GB2312"/>
          <w:szCs w:val="21"/>
        </w:rPr>
      </w:pPr>
      <w:r>
        <w:rPr>
          <w:rFonts w:hint="eastAsia" w:cs="仿宋_GB2312"/>
          <w:szCs w:val="21"/>
        </w:rPr>
        <w:t>2、定点维保专职人数</w:t>
      </w:r>
      <w:r>
        <w:rPr>
          <w:rFonts w:cs="仿宋_GB2312"/>
          <w:szCs w:val="21"/>
        </w:rPr>
        <w:t>2</w:t>
      </w:r>
      <w:r>
        <w:rPr>
          <w:rFonts w:hint="eastAsia" w:cs="仿宋_GB2312"/>
          <w:szCs w:val="21"/>
        </w:rPr>
        <w:t>人（</w:t>
      </w:r>
      <w:r>
        <w:rPr>
          <w:rFonts w:ascii="宋体" w:hAnsi="宋体" w:cs="宋体"/>
          <w:szCs w:val="21"/>
        </w:rPr>
        <w:t>工作日8:00</w:t>
      </w:r>
      <w:r>
        <w:rPr>
          <w:rFonts w:hint="eastAsia" w:ascii="宋体" w:hAnsi="宋体" w:cs="宋体"/>
          <w:szCs w:val="21"/>
        </w:rPr>
        <w:t>-12:</w:t>
      </w:r>
      <w:r>
        <w:rPr>
          <w:rFonts w:ascii="宋体" w:hAnsi="宋体" w:cs="宋体"/>
          <w:szCs w:val="21"/>
        </w:rPr>
        <w:t>00</w:t>
      </w:r>
      <w:r>
        <w:rPr>
          <w:rFonts w:hint="eastAsia" w:ascii="宋体" w:hAnsi="宋体" w:cs="宋体"/>
          <w:szCs w:val="21"/>
        </w:rPr>
        <w:t>、</w:t>
      </w:r>
      <w:r>
        <w:rPr>
          <w:rFonts w:ascii="宋体" w:hAnsi="宋体" w:cs="宋体"/>
          <w:szCs w:val="21"/>
        </w:rPr>
        <w:t>14:00-18:00</w:t>
      </w:r>
      <w:r>
        <w:rPr>
          <w:rFonts w:hint="eastAsia" w:cs="仿宋_GB2312"/>
          <w:szCs w:val="21"/>
        </w:rPr>
        <w:t>），并提供24小时开机的服务电话。本项目固定派驻人员如发生人员变更，中标人须提前半个月书面通知招标人，并得到招标人同意后方可变更。</w:t>
      </w:r>
    </w:p>
    <w:p w14:paraId="03C86043">
      <w:pPr>
        <w:shd w:val="clear" w:color="auto" w:fill="FFFFFF"/>
        <w:tabs>
          <w:tab w:val="left" w:pos="720"/>
        </w:tabs>
        <w:snapToGrid w:val="0"/>
        <w:spacing w:line="360" w:lineRule="auto"/>
        <w:ind w:firstLine="420" w:firstLineChars="200"/>
        <w:rPr>
          <w:rFonts w:cs="仿宋_GB2312"/>
          <w:szCs w:val="21"/>
        </w:rPr>
      </w:pPr>
      <w:r>
        <w:rPr>
          <w:rFonts w:hint="eastAsia" w:cs="仿宋_GB2312"/>
          <w:szCs w:val="21"/>
        </w:rPr>
        <w:t>3、定点维保专人负责医院消防所有设施设备的检查维护保养工作，涉及到需要招标人另付费用的改造等项目，中标人需要另派专业技术人员负责跟进，不得使用定点维保专人。</w:t>
      </w:r>
    </w:p>
    <w:p w14:paraId="089D1995">
      <w:pPr>
        <w:shd w:val="clear" w:color="auto" w:fill="FFFFFF"/>
        <w:tabs>
          <w:tab w:val="left" w:pos="720"/>
        </w:tabs>
        <w:snapToGrid w:val="0"/>
        <w:spacing w:line="360" w:lineRule="auto"/>
        <w:ind w:firstLine="420" w:firstLineChars="200"/>
        <w:rPr>
          <w:rFonts w:cs="仿宋_GB2312"/>
          <w:szCs w:val="21"/>
        </w:rPr>
      </w:pPr>
      <w:r>
        <w:rPr>
          <w:rFonts w:hint="eastAsia" w:cs="仿宋_GB2312"/>
          <w:szCs w:val="21"/>
        </w:rPr>
        <w:t>4、中标人应保证所有指派到招标人处工作的人员均经过岗前培训，并且达标后方可上岗。</w:t>
      </w:r>
    </w:p>
    <w:p w14:paraId="59ECECDF">
      <w:pPr>
        <w:tabs>
          <w:tab w:val="left" w:pos="0"/>
          <w:tab w:val="left" w:pos="720"/>
        </w:tabs>
        <w:spacing w:line="360" w:lineRule="auto"/>
        <w:outlineLvl w:val="1"/>
        <w:rPr>
          <w:rFonts w:ascii="宋体" w:hAnsi="宋体" w:cs="宋体"/>
          <w:b/>
          <w:sz w:val="24"/>
          <w:szCs w:val="28"/>
        </w:rPr>
      </w:pPr>
    </w:p>
    <w:p w14:paraId="0840D3B6">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五、服务要求</w:t>
      </w:r>
    </w:p>
    <w:p w14:paraId="42A32687">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1、服务商每半年无偿配合采购人组织一次消防演习，每年为医院组织一期消防安全培训，由服务商聘请培训专家，并安排有火灾疏散逃生体验屋，费用由服务商承担。</w:t>
      </w:r>
    </w:p>
    <w:p w14:paraId="42FAAC1F">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2、采购人有权选择及要求更换服务商委派到医院的维保人员。</w:t>
      </w:r>
    </w:p>
    <w:p w14:paraId="5D65AFD8">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3、当消防系统发生故障时，服务商接到采购人通知后，</w:t>
      </w:r>
      <w:r>
        <w:rPr>
          <w:rFonts w:ascii="宋体" w:hAnsi="宋体" w:cs="宋体"/>
          <w:szCs w:val="21"/>
        </w:rPr>
        <w:t>5</w:t>
      </w:r>
      <w:r>
        <w:rPr>
          <w:rFonts w:hint="eastAsia" w:ascii="宋体" w:hAnsi="宋体" w:cs="宋体"/>
          <w:szCs w:val="21"/>
        </w:rPr>
        <w:t>分钟内派人员到达现场处理。如下班时间遇到紧急事故，必须20分钟内到达事故现场。</w:t>
      </w:r>
    </w:p>
    <w:p w14:paraId="38F46E44">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4、因服务过程中造成采购人或第三方人身、财产的损害，服务商承担一切赔偿责任。</w:t>
      </w:r>
    </w:p>
    <w:p w14:paraId="0790DF4C">
      <w:pPr>
        <w:shd w:val="clear" w:color="auto" w:fill="FFFFFF"/>
        <w:tabs>
          <w:tab w:val="left" w:pos="720"/>
        </w:tabs>
        <w:snapToGrid w:val="0"/>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、服务商应在合同生效后30天内，对医院消防系统进行一次全面检查，并在检查后7天内出具书面检查报告给到采购人。针对全面检查发现的问题，服务商应逐项进行整改，日常故障问题（如疏散灯、烟感温感等）</w:t>
      </w:r>
      <w:r>
        <w:rPr>
          <w:rFonts w:ascii="宋体" w:hAnsi="宋体" w:cs="宋体"/>
          <w:szCs w:val="21"/>
        </w:rPr>
        <w:t>1</w:t>
      </w:r>
      <w:r>
        <w:rPr>
          <w:rFonts w:hint="eastAsia" w:ascii="宋体" w:hAnsi="宋体" w:cs="宋体"/>
          <w:szCs w:val="21"/>
        </w:rPr>
        <w:t>天内完成整改，其他设备故障（如排烟系统、防火卷帘系统、消防广播系统等）导致存在问题</w:t>
      </w:r>
      <w:r>
        <w:rPr>
          <w:rFonts w:ascii="宋体" w:hAnsi="宋体" w:cs="宋体"/>
          <w:szCs w:val="21"/>
        </w:rPr>
        <w:t>5</w:t>
      </w:r>
      <w:r>
        <w:rPr>
          <w:rFonts w:hint="eastAsia" w:ascii="宋体" w:hAnsi="宋体" w:cs="宋体"/>
          <w:szCs w:val="21"/>
        </w:rPr>
        <w:t>天内完成整改。若需要外请厂家工程师或第三方进行维修，费用由服务商承担。</w:t>
      </w:r>
    </w:p>
    <w:p w14:paraId="05554556">
      <w:pPr>
        <w:shd w:val="clear" w:color="auto" w:fill="FFFFFF"/>
        <w:tabs>
          <w:tab w:val="left" w:pos="720"/>
        </w:tabs>
        <w:snapToGrid w:val="0"/>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、服务商负责修正完善消防系统资料，在合同生效后三个月内需完成全院9台消防火灾报警系统的烟感、温感、手报、消火栓按钮和模块等探测点位图、核点、主机编码表和CRT的修正完善工作。</w:t>
      </w:r>
    </w:p>
    <w:p w14:paraId="08A19A8A">
      <w:pPr>
        <w:shd w:val="clear" w:color="auto" w:fill="FFFFFF"/>
        <w:tabs>
          <w:tab w:val="left" w:pos="720"/>
        </w:tabs>
        <w:snapToGrid w:val="0"/>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、服务商负责更换的消防设备、维修配件、材料的品牌档次，不得低于医院现场原有的品牌档次。</w:t>
      </w:r>
    </w:p>
    <w:p w14:paraId="50604D30">
      <w:pPr>
        <w:pStyle w:val="2"/>
      </w:pPr>
    </w:p>
    <w:p w14:paraId="2A7F3906">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六</w:t>
      </w:r>
      <w:r>
        <w:rPr>
          <w:rFonts w:ascii="宋体" w:hAnsi="宋体" w:cs="宋体"/>
          <w:b/>
          <w:sz w:val="24"/>
          <w:szCs w:val="28"/>
        </w:rPr>
        <w:t>、</w:t>
      </w:r>
      <w:r>
        <w:rPr>
          <w:rFonts w:hint="eastAsia" w:ascii="宋体" w:hAnsi="宋体" w:cs="宋体"/>
          <w:b/>
          <w:sz w:val="24"/>
          <w:szCs w:val="28"/>
        </w:rPr>
        <w:t>支付方式</w:t>
      </w:r>
    </w:p>
    <w:p w14:paraId="30549C66">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（1）每月支付金额拟为合同总价÷36，并且由招标人每月根据《消防系统维护保养服务质量考核表》考核情况综合计算维护费。</w:t>
      </w:r>
    </w:p>
    <w:p w14:paraId="134A36BE">
      <w:pPr>
        <w:shd w:val="clear" w:color="auto" w:fill="FFFFFF"/>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（2）付款方式：银行转帐，中标人凭全额正式发票，招标人在60个日历天内支付合同款项。</w:t>
      </w:r>
    </w:p>
    <w:p w14:paraId="2F92095E">
      <w:pPr>
        <w:tabs>
          <w:tab w:val="left" w:pos="0"/>
          <w:tab w:val="left" w:pos="720"/>
        </w:tabs>
        <w:spacing w:line="360" w:lineRule="auto"/>
        <w:outlineLvl w:val="1"/>
        <w:rPr>
          <w:rFonts w:ascii="宋体" w:hAnsi="宋体" w:cs="宋体"/>
          <w:b/>
          <w:sz w:val="24"/>
          <w:szCs w:val="28"/>
        </w:rPr>
      </w:pPr>
    </w:p>
    <w:p w14:paraId="6E6EA7B8">
      <w:pPr>
        <w:tabs>
          <w:tab w:val="left" w:pos="0"/>
          <w:tab w:val="left" w:pos="720"/>
        </w:tabs>
        <w:spacing w:line="360" w:lineRule="auto"/>
        <w:outlineLvl w:val="1"/>
        <w:rPr>
          <w:rFonts w:ascii="宋体" w:hAnsi="宋体" w:cs="宋体"/>
          <w:b/>
          <w:sz w:val="24"/>
          <w:szCs w:val="28"/>
        </w:rPr>
      </w:pPr>
      <w:r>
        <w:rPr>
          <w:rFonts w:hint="eastAsia" w:ascii="宋体" w:hAnsi="宋体" w:cs="宋体"/>
          <w:b/>
          <w:sz w:val="24"/>
          <w:szCs w:val="28"/>
        </w:rPr>
        <w:t>七</w:t>
      </w:r>
      <w:r>
        <w:rPr>
          <w:rFonts w:ascii="宋体" w:hAnsi="宋体" w:cs="宋体"/>
          <w:b/>
          <w:sz w:val="24"/>
          <w:szCs w:val="28"/>
        </w:rPr>
        <w:t>、</w:t>
      </w:r>
      <w:r>
        <w:rPr>
          <w:rFonts w:hint="eastAsia" w:ascii="宋体" w:hAnsi="宋体" w:cs="宋体"/>
          <w:b/>
          <w:sz w:val="24"/>
          <w:szCs w:val="28"/>
        </w:rPr>
        <w:t>服务验收考核</w:t>
      </w:r>
    </w:p>
    <w:p w14:paraId="1575DBAB">
      <w:r>
        <w:br w:type="page"/>
      </w:r>
    </w:p>
    <w:p w14:paraId="62984AB7">
      <w:pPr>
        <w:adjustRightInd w:val="0"/>
        <w:snapToGrid w:val="0"/>
        <w:spacing w:line="360" w:lineRule="auto"/>
        <w:jc w:val="center"/>
        <w:outlineLvl w:val="2"/>
        <w:rPr>
          <w:rFonts w:ascii="宋体" w:hAnsi="宋体" w:cs="宋体"/>
          <w:b/>
          <w:sz w:val="28"/>
          <w:szCs w:val="28"/>
        </w:rPr>
      </w:pPr>
      <w:r>
        <w:rPr>
          <w:rFonts w:hint="eastAsia" w:ascii="宋体" w:hAnsi="宋体" w:cs="宋体"/>
          <w:b/>
          <w:sz w:val="28"/>
          <w:szCs w:val="28"/>
        </w:rPr>
        <w:t>消防系统维护保养服务质量考核表</w:t>
      </w:r>
    </w:p>
    <w:p w14:paraId="71D37C18">
      <w:pPr>
        <w:wordWrap w:val="0"/>
        <w:spacing w:line="360" w:lineRule="auto"/>
        <w:ind w:right="105"/>
        <w:jc w:val="right"/>
        <w:rPr>
          <w:rFonts w:ascii="宋体" w:hAnsi="宋体" w:cs="宋体"/>
          <w:sz w:val="24"/>
        </w:rPr>
      </w:pPr>
      <w:r>
        <w:rPr>
          <w:rFonts w:hint="eastAsia" w:ascii="宋体" w:hAnsi="宋体" w:cs="宋体"/>
          <w:szCs w:val="21"/>
        </w:rPr>
        <w:t xml:space="preserve">                                                              </w:t>
      </w:r>
      <w:r>
        <w:rPr>
          <w:rFonts w:hint="eastAsia" w:ascii="宋体" w:hAnsi="宋体" w:cs="宋体"/>
          <w:u w:val="single"/>
        </w:rPr>
        <w:t xml:space="preserve">        </w:t>
      </w:r>
      <w:r>
        <w:rPr>
          <w:rFonts w:hint="eastAsia" w:ascii="宋体" w:hAnsi="宋体" w:cs="宋体"/>
          <w:sz w:val="24"/>
        </w:rPr>
        <w:t>年</w:t>
      </w:r>
      <w:r>
        <w:rPr>
          <w:rFonts w:hint="eastAsia" w:ascii="宋体" w:hAnsi="宋体" w:cs="宋体"/>
          <w:u w:val="single"/>
        </w:rPr>
        <w:t xml:space="preserve">      </w:t>
      </w:r>
      <w:r>
        <w:rPr>
          <w:rFonts w:hint="eastAsia" w:ascii="宋体" w:hAnsi="宋体" w:cs="宋体"/>
          <w:sz w:val="24"/>
        </w:rPr>
        <w:t>月</w:t>
      </w:r>
    </w:p>
    <w:tbl>
      <w:tblPr>
        <w:tblStyle w:val="8"/>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775"/>
        <w:gridCol w:w="861"/>
        <w:gridCol w:w="1765"/>
        <w:gridCol w:w="1133"/>
      </w:tblGrid>
      <w:tr w14:paraId="055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Align w:val="center"/>
          </w:tcPr>
          <w:p w14:paraId="178FDC63">
            <w:pPr>
              <w:jc w:val="center"/>
            </w:pPr>
            <w:r>
              <w:rPr>
                <w:rFonts w:hint="eastAsia"/>
              </w:rPr>
              <w:t>类别</w:t>
            </w:r>
          </w:p>
        </w:tc>
        <w:tc>
          <w:tcPr>
            <w:tcW w:w="5775" w:type="dxa"/>
            <w:vAlign w:val="center"/>
          </w:tcPr>
          <w:p w14:paraId="59BEF335">
            <w:pPr>
              <w:jc w:val="center"/>
            </w:pPr>
            <w:r>
              <w:rPr>
                <w:rFonts w:hint="eastAsia"/>
              </w:rPr>
              <w:t>标准内容</w:t>
            </w:r>
          </w:p>
        </w:tc>
        <w:tc>
          <w:tcPr>
            <w:tcW w:w="861" w:type="dxa"/>
            <w:vAlign w:val="center"/>
          </w:tcPr>
          <w:p w14:paraId="32D3A3D4">
            <w:pPr>
              <w:jc w:val="center"/>
            </w:pPr>
            <w:r>
              <w:rPr>
                <w:rFonts w:hint="eastAsia"/>
              </w:rPr>
              <w:t>分值</w:t>
            </w:r>
          </w:p>
        </w:tc>
        <w:tc>
          <w:tcPr>
            <w:tcW w:w="1765" w:type="dxa"/>
            <w:vAlign w:val="center"/>
          </w:tcPr>
          <w:p w14:paraId="6F3A5F26">
            <w:pPr>
              <w:jc w:val="center"/>
            </w:pPr>
            <w:r>
              <w:rPr>
                <w:rFonts w:hint="eastAsia"/>
              </w:rPr>
              <w:t>评分标准</w:t>
            </w:r>
          </w:p>
        </w:tc>
        <w:tc>
          <w:tcPr>
            <w:tcW w:w="1133" w:type="dxa"/>
            <w:vAlign w:val="center"/>
          </w:tcPr>
          <w:p w14:paraId="0ED5547D">
            <w:pPr>
              <w:jc w:val="center"/>
            </w:pPr>
            <w:r>
              <w:rPr>
                <w:rFonts w:hint="eastAsia"/>
              </w:rPr>
              <w:t>扣分</w:t>
            </w:r>
          </w:p>
        </w:tc>
      </w:tr>
      <w:tr w14:paraId="26B0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restart"/>
            <w:textDirection w:val="tbRlV"/>
            <w:vAlign w:val="center"/>
          </w:tcPr>
          <w:p w14:paraId="438630F4">
            <w:pPr>
              <w:jc w:val="center"/>
            </w:pPr>
            <w:r>
              <w:rPr>
                <w:rFonts w:hint="eastAsia"/>
              </w:rPr>
              <w:t>一、基础服务质量（40分）</w:t>
            </w:r>
          </w:p>
        </w:tc>
        <w:tc>
          <w:tcPr>
            <w:tcW w:w="5775" w:type="dxa"/>
          </w:tcPr>
          <w:p w14:paraId="525189FE">
            <w:r>
              <w:rPr>
                <w:rFonts w:hint="eastAsia"/>
              </w:rPr>
              <w:t>制度建设</w:t>
            </w:r>
          </w:p>
          <w:p w14:paraId="682DA2C7">
            <w:r>
              <w:rPr>
                <w:rFonts w:hint="eastAsia"/>
              </w:rPr>
              <w:t>①建立健全的各项管理制度，并制定具体的落实措施；</w:t>
            </w:r>
          </w:p>
          <w:p w14:paraId="74E17DCB">
            <w:r>
              <w:rPr>
                <w:rFonts w:hint="eastAsia"/>
              </w:rPr>
              <w:t>②特殊时期管理人员需安排全天候轮值处理突发事件；</w:t>
            </w:r>
          </w:p>
          <w:p w14:paraId="3287C64F">
            <w:r>
              <w:rPr>
                <w:rFonts w:hint="eastAsia"/>
              </w:rPr>
              <w:t>③项目负责人需保持通讯工具24小时开启；</w:t>
            </w:r>
          </w:p>
          <w:p w14:paraId="5046C177">
            <w:r>
              <w:rPr>
                <w:rFonts w:hint="eastAsia"/>
              </w:rPr>
              <w:t>④正常上班8小时内需要派不少于2人。</w:t>
            </w:r>
          </w:p>
        </w:tc>
        <w:tc>
          <w:tcPr>
            <w:tcW w:w="861" w:type="dxa"/>
            <w:vAlign w:val="center"/>
          </w:tcPr>
          <w:p w14:paraId="6A3BA52D">
            <w:pPr>
              <w:jc w:val="center"/>
            </w:pPr>
            <w:r>
              <w:rPr>
                <w:rFonts w:hint="eastAsia"/>
              </w:rPr>
              <w:t>4</w:t>
            </w:r>
          </w:p>
        </w:tc>
        <w:tc>
          <w:tcPr>
            <w:tcW w:w="1765" w:type="dxa"/>
            <w:vAlign w:val="center"/>
          </w:tcPr>
          <w:p w14:paraId="2C680C03">
            <w:r>
              <w:rPr>
                <w:rFonts w:hint="eastAsia"/>
              </w:rPr>
              <w:t>每发现一项/次不符合要求，扣</w:t>
            </w:r>
            <w:r>
              <w:t>0.5</w:t>
            </w:r>
            <w:r>
              <w:rPr>
                <w:rFonts w:hint="eastAsia"/>
              </w:rPr>
              <w:t>分。</w:t>
            </w:r>
          </w:p>
        </w:tc>
        <w:tc>
          <w:tcPr>
            <w:tcW w:w="1133" w:type="dxa"/>
          </w:tcPr>
          <w:p w14:paraId="0C32871F"/>
        </w:tc>
      </w:tr>
      <w:tr w14:paraId="0047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0315C84B">
            <w:pPr>
              <w:jc w:val="center"/>
            </w:pPr>
          </w:p>
        </w:tc>
        <w:tc>
          <w:tcPr>
            <w:tcW w:w="5775" w:type="dxa"/>
            <w:vAlign w:val="center"/>
          </w:tcPr>
          <w:p w14:paraId="013C58C6">
            <w:r>
              <w:rPr>
                <w:rFonts w:hint="eastAsia"/>
              </w:rPr>
              <w:t>2、仪容仪表要求</w:t>
            </w:r>
          </w:p>
          <w:p w14:paraId="70399F21">
            <w:r>
              <w:rPr>
                <w:rFonts w:hint="eastAsia"/>
              </w:rPr>
              <w:t>值班维修人员着统一着装，姿势端正、精神抖擞，佩戴相对应工牌，不得在工作区域内吸烟，不得做与岗位工作要求无关的事情（突发事件处理、委托方临时工作要求除外）。</w:t>
            </w:r>
          </w:p>
        </w:tc>
        <w:tc>
          <w:tcPr>
            <w:tcW w:w="861" w:type="dxa"/>
            <w:vAlign w:val="center"/>
          </w:tcPr>
          <w:p w14:paraId="73DDB7F0">
            <w:pPr>
              <w:jc w:val="center"/>
            </w:pPr>
            <w:r>
              <w:rPr>
                <w:rFonts w:hint="eastAsia"/>
              </w:rPr>
              <w:t>4</w:t>
            </w:r>
          </w:p>
        </w:tc>
        <w:tc>
          <w:tcPr>
            <w:tcW w:w="1765" w:type="dxa"/>
            <w:vAlign w:val="center"/>
          </w:tcPr>
          <w:p w14:paraId="021A9723">
            <w:r>
              <w:rPr>
                <w:rFonts w:hint="eastAsia"/>
              </w:rPr>
              <w:t>每发现一项/次不符合要求，扣</w:t>
            </w:r>
            <w:r>
              <w:t>0.5</w:t>
            </w:r>
            <w:r>
              <w:rPr>
                <w:rFonts w:hint="eastAsia"/>
              </w:rPr>
              <w:t>分。</w:t>
            </w:r>
          </w:p>
        </w:tc>
        <w:tc>
          <w:tcPr>
            <w:tcW w:w="1133" w:type="dxa"/>
          </w:tcPr>
          <w:p w14:paraId="15D1882D"/>
        </w:tc>
      </w:tr>
      <w:tr w14:paraId="6DF7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04F058A9">
            <w:pPr>
              <w:jc w:val="center"/>
            </w:pPr>
          </w:p>
        </w:tc>
        <w:tc>
          <w:tcPr>
            <w:tcW w:w="5775" w:type="dxa"/>
            <w:vAlign w:val="center"/>
          </w:tcPr>
          <w:p w14:paraId="79A82F82">
            <w:r>
              <w:rPr>
                <w:rFonts w:hint="eastAsia"/>
              </w:rPr>
              <w:t>3、突发事件</w:t>
            </w:r>
          </w:p>
          <w:p w14:paraId="79652155">
            <w:r>
              <w:rPr>
                <w:rFonts w:hint="eastAsia"/>
              </w:rPr>
              <w:t>①及时制定及更新各类突发事件应急预案；</w:t>
            </w:r>
          </w:p>
          <w:p w14:paraId="7CC8FCBA">
            <w:r>
              <w:rPr>
                <w:rFonts w:hint="eastAsia"/>
              </w:rPr>
              <w:t>②发生突发事件时人员在规定时间内（正常上班时间不超</w:t>
            </w:r>
            <w:r>
              <w:t>5</w:t>
            </w:r>
            <w:r>
              <w:rPr>
                <w:rFonts w:hint="eastAsia"/>
              </w:rPr>
              <w:t>分钟，其余时间不超20分钟）准确到达指定位置并开展工作；</w:t>
            </w:r>
          </w:p>
          <w:p w14:paraId="1E88A319">
            <w:r>
              <w:rPr>
                <w:rFonts w:hint="eastAsia"/>
              </w:rPr>
              <w:t>③发生突发事件（如消防设施设备故障警报造成人员恐慌等）未能及时通报、并采取措施控制，有明显过失的，影响院方正常运作。</w:t>
            </w:r>
          </w:p>
        </w:tc>
        <w:tc>
          <w:tcPr>
            <w:tcW w:w="861" w:type="dxa"/>
            <w:vAlign w:val="center"/>
          </w:tcPr>
          <w:p w14:paraId="191FEED2">
            <w:pPr>
              <w:jc w:val="center"/>
            </w:pPr>
            <w:r>
              <w:rPr>
                <w:rFonts w:hint="eastAsia"/>
              </w:rPr>
              <w:t>8</w:t>
            </w:r>
          </w:p>
        </w:tc>
        <w:tc>
          <w:tcPr>
            <w:tcW w:w="1765" w:type="dxa"/>
            <w:vAlign w:val="center"/>
          </w:tcPr>
          <w:p w14:paraId="4F98B45B">
            <w:r>
              <w:rPr>
                <w:rFonts w:hint="eastAsia"/>
              </w:rPr>
              <w:t>每发现一项/次不符合要求，扣</w:t>
            </w:r>
            <w:r>
              <w:t>1</w:t>
            </w:r>
            <w:r>
              <w:rPr>
                <w:rFonts w:hint="eastAsia"/>
              </w:rPr>
              <w:t>分。</w:t>
            </w:r>
          </w:p>
        </w:tc>
        <w:tc>
          <w:tcPr>
            <w:tcW w:w="1133" w:type="dxa"/>
          </w:tcPr>
          <w:p w14:paraId="1EA699EE"/>
        </w:tc>
      </w:tr>
      <w:tr w14:paraId="6811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3368F20C">
            <w:pPr>
              <w:jc w:val="center"/>
            </w:pPr>
          </w:p>
        </w:tc>
        <w:tc>
          <w:tcPr>
            <w:tcW w:w="5775" w:type="dxa"/>
            <w:vAlign w:val="center"/>
          </w:tcPr>
          <w:p w14:paraId="0C2990D9">
            <w:r>
              <w:rPr>
                <w:rFonts w:hint="eastAsia"/>
              </w:rPr>
              <w:t>4、投诉</w:t>
            </w:r>
          </w:p>
          <w:p w14:paraId="4660033C">
            <w:r>
              <w:rPr>
                <w:rFonts w:hint="eastAsia"/>
              </w:rPr>
              <w:t>服务工作不到位，导致委托方或外来办事人员对服务项目有效投诉。</w:t>
            </w:r>
          </w:p>
        </w:tc>
        <w:tc>
          <w:tcPr>
            <w:tcW w:w="861" w:type="dxa"/>
            <w:vAlign w:val="center"/>
          </w:tcPr>
          <w:p w14:paraId="74A5E7A5">
            <w:pPr>
              <w:jc w:val="center"/>
            </w:pPr>
            <w:r>
              <w:rPr>
                <w:rFonts w:hint="eastAsia"/>
              </w:rPr>
              <w:t>2</w:t>
            </w:r>
          </w:p>
        </w:tc>
        <w:tc>
          <w:tcPr>
            <w:tcW w:w="1765" w:type="dxa"/>
            <w:vAlign w:val="center"/>
          </w:tcPr>
          <w:p w14:paraId="1B143A52">
            <w:r>
              <w:rPr>
                <w:rFonts w:hint="eastAsia"/>
              </w:rPr>
              <w:t>每次扣1分。</w:t>
            </w:r>
          </w:p>
        </w:tc>
        <w:tc>
          <w:tcPr>
            <w:tcW w:w="1133" w:type="dxa"/>
          </w:tcPr>
          <w:p w14:paraId="70C13BA3"/>
        </w:tc>
      </w:tr>
      <w:tr w14:paraId="3DDB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6" w:type="dxa"/>
            <w:vMerge w:val="continue"/>
            <w:vAlign w:val="center"/>
          </w:tcPr>
          <w:p w14:paraId="209947A8">
            <w:pPr>
              <w:jc w:val="center"/>
            </w:pPr>
          </w:p>
        </w:tc>
        <w:tc>
          <w:tcPr>
            <w:tcW w:w="5775" w:type="dxa"/>
            <w:vAlign w:val="center"/>
          </w:tcPr>
          <w:p w14:paraId="69C1779E">
            <w:r>
              <w:rPr>
                <w:rFonts w:hint="eastAsia"/>
              </w:rPr>
              <w:t>5、安全维护</w:t>
            </w:r>
          </w:p>
          <w:p w14:paraId="26AE7123">
            <w:r>
              <w:rPr>
                <w:rFonts w:hint="eastAsia"/>
              </w:rPr>
              <w:t>日常要切实做好巡查、防护工作，若出现管理疏漏造成院方损失。</w:t>
            </w:r>
          </w:p>
        </w:tc>
        <w:tc>
          <w:tcPr>
            <w:tcW w:w="861" w:type="dxa"/>
            <w:vAlign w:val="center"/>
          </w:tcPr>
          <w:p w14:paraId="529289FC">
            <w:pPr>
              <w:jc w:val="center"/>
            </w:pPr>
            <w:r>
              <w:rPr>
                <w:rFonts w:hint="eastAsia"/>
              </w:rPr>
              <w:t>5</w:t>
            </w:r>
          </w:p>
        </w:tc>
        <w:tc>
          <w:tcPr>
            <w:tcW w:w="1765" w:type="dxa"/>
            <w:vAlign w:val="center"/>
          </w:tcPr>
          <w:p w14:paraId="5914CD96">
            <w:r>
              <w:rPr>
                <w:rFonts w:hint="eastAsia"/>
              </w:rPr>
              <w:t>视具体情况扣罚</w:t>
            </w:r>
          </w:p>
        </w:tc>
        <w:tc>
          <w:tcPr>
            <w:tcW w:w="1133" w:type="dxa"/>
          </w:tcPr>
          <w:p w14:paraId="0ACADC3C"/>
        </w:tc>
      </w:tr>
      <w:tr w14:paraId="2A71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23EE5259">
            <w:pPr>
              <w:jc w:val="center"/>
            </w:pPr>
          </w:p>
        </w:tc>
        <w:tc>
          <w:tcPr>
            <w:tcW w:w="5775" w:type="dxa"/>
            <w:vAlign w:val="center"/>
          </w:tcPr>
          <w:p w14:paraId="12DF0AAB">
            <w:r>
              <w:rPr>
                <w:rFonts w:hint="eastAsia"/>
              </w:rPr>
              <w:t>6、日常签到及培训</w:t>
            </w:r>
          </w:p>
          <w:p w14:paraId="7B587CBD">
            <w:r>
              <w:rPr>
                <w:rFonts w:hint="eastAsia"/>
              </w:rPr>
              <w:t>①对各类自动灭火器设备及重点防火部位定时（至少每月一次）定点检查签到；</w:t>
            </w:r>
          </w:p>
          <w:p w14:paraId="2ED066DB">
            <w:r>
              <w:rPr>
                <w:rFonts w:hint="eastAsia"/>
              </w:rPr>
              <w:t>②做好每月检查并对消防设备进行更换消防封条；</w:t>
            </w:r>
          </w:p>
          <w:p w14:paraId="5BA77C77">
            <w:r>
              <w:rPr>
                <w:rFonts w:hint="eastAsia"/>
              </w:rPr>
              <w:t>③每月对监控中心值班保安员开展至少一次的消防设施设备使用操作培训（含消防主机操作、灭火器材使用操作、突发事件等培训）。</w:t>
            </w:r>
          </w:p>
        </w:tc>
        <w:tc>
          <w:tcPr>
            <w:tcW w:w="861" w:type="dxa"/>
            <w:vAlign w:val="center"/>
          </w:tcPr>
          <w:p w14:paraId="5B3375E5">
            <w:pPr>
              <w:jc w:val="center"/>
            </w:pPr>
            <w:r>
              <w:rPr>
                <w:rFonts w:hint="eastAsia"/>
              </w:rPr>
              <w:t>5</w:t>
            </w:r>
          </w:p>
        </w:tc>
        <w:tc>
          <w:tcPr>
            <w:tcW w:w="1765" w:type="dxa"/>
            <w:vAlign w:val="center"/>
          </w:tcPr>
          <w:p w14:paraId="6A08BA07">
            <w:r>
              <w:rPr>
                <w:rFonts w:hint="eastAsia"/>
              </w:rPr>
              <w:t>每发现一项/次不符合要求，扣</w:t>
            </w:r>
            <w:r>
              <w:t>0.5</w:t>
            </w:r>
            <w:r>
              <w:rPr>
                <w:rFonts w:hint="eastAsia"/>
              </w:rPr>
              <w:t>分。</w:t>
            </w:r>
          </w:p>
        </w:tc>
        <w:tc>
          <w:tcPr>
            <w:tcW w:w="1133" w:type="dxa"/>
          </w:tcPr>
          <w:p w14:paraId="4F9D80F3"/>
        </w:tc>
      </w:tr>
      <w:tr w14:paraId="499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478673A8">
            <w:pPr>
              <w:jc w:val="center"/>
            </w:pPr>
          </w:p>
        </w:tc>
        <w:tc>
          <w:tcPr>
            <w:tcW w:w="5775" w:type="dxa"/>
          </w:tcPr>
          <w:p w14:paraId="0A2E5979">
            <w:r>
              <w:rPr>
                <w:rFonts w:hint="eastAsia"/>
              </w:rPr>
              <w:t>7、工作要求</w:t>
            </w:r>
          </w:p>
          <w:p w14:paraId="4047DA65">
            <w:r>
              <w:rPr>
                <w:rFonts w:hint="eastAsia"/>
              </w:rPr>
              <w:t>①有消防预警处置程序，发生火警按程序及时处置；</w:t>
            </w:r>
          </w:p>
          <w:p w14:paraId="2F142C12">
            <w:r>
              <w:rPr>
                <w:rFonts w:hint="eastAsia"/>
              </w:rPr>
              <w:t>②消防系统出现紧急情况，维保人员要求第一时间（正常上班时间不超</w:t>
            </w:r>
            <w:r>
              <w:t>5</w:t>
            </w:r>
            <w:r>
              <w:rPr>
                <w:rFonts w:hint="eastAsia"/>
              </w:rPr>
              <w:t>分钟，其余时间不超20分钟）赶到现场，进行应急处理或紧急维护；</w:t>
            </w:r>
          </w:p>
          <w:p w14:paraId="7E2EDF2A">
            <w:r>
              <w:rPr>
                <w:rFonts w:hint="eastAsia"/>
              </w:rPr>
              <w:t>③按照合同规定时间内上交各类报表及资料；</w:t>
            </w:r>
          </w:p>
          <w:p w14:paraId="412D90D7">
            <w:r>
              <w:rPr>
                <w:rFonts w:hint="eastAsia"/>
              </w:rPr>
              <w:t>④按时完成委托方交办的各类消防设施设备维保工作；</w:t>
            </w:r>
          </w:p>
          <w:p w14:paraId="62C69074">
            <w:r>
              <w:rPr>
                <w:rFonts w:hint="eastAsia"/>
              </w:rPr>
              <w:t>⑤违反医院相关管理规定。</w:t>
            </w:r>
          </w:p>
        </w:tc>
        <w:tc>
          <w:tcPr>
            <w:tcW w:w="861" w:type="dxa"/>
            <w:vAlign w:val="center"/>
          </w:tcPr>
          <w:p w14:paraId="3265ADF2">
            <w:pPr>
              <w:jc w:val="center"/>
            </w:pPr>
            <w:r>
              <w:rPr>
                <w:rFonts w:hint="eastAsia"/>
              </w:rPr>
              <w:t>8</w:t>
            </w:r>
          </w:p>
        </w:tc>
        <w:tc>
          <w:tcPr>
            <w:tcW w:w="1765" w:type="dxa"/>
            <w:vAlign w:val="center"/>
          </w:tcPr>
          <w:p w14:paraId="43B78B25">
            <w:r>
              <w:rPr>
                <w:rFonts w:hint="eastAsia"/>
              </w:rPr>
              <w:t>每发现一项/次不符合要求，扣</w:t>
            </w:r>
            <w:r>
              <w:t>1</w:t>
            </w:r>
            <w:r>
              <w:rPr>
                <w:rFonts w:hint="eastAsia"/>
              </w:rPr>
              <w:t>分。</w:t>
            </w:r>
          </w:p>
        </w:tc>
        <w:tc>
          <w:tcPr>
            <w:tcW w:w="1133" w:type="dxa"/>
          </w:tcPr>
          <w:p w14:paraId="1691C8C6"/>
        </w:tc>
      </w:tr>
      <w:tr w14:paraId="629B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46" w:type="dxa"/>
            <w:vMerge w:val="continue"/>
            <w:vAlign w:val="center"/>
          </w:tcPr>
          <w:p w14:paraId="7456F914">
            <w:pPr>
              <w:jc w:val="center"/>
            </w:pPr>
          </w:p>
        </w:tc>
        <w:tc>
          <w:tcPr>
            <w:tcW w:w="5775" w:type="dxa"/>
          </w:tcPr>
          <w:p w14:paraId="41764EF0">
            <w:r>
              <w:rPr>
                <w:rFonts w:hint="eastAsia"/>
              </w:rPr>
              <w:t>8、其他要求</w:t>
            </w:r>
          </w:p>
          <w:p w14:paraId="6A9B6C1C">
            <w:r>
              <w:rPr>
                <w:rFonts w:hint="eastAsia"/>
              </w:rPr>
              <w:t>未经委托方允许禁止以下行为：</w:t>
            </w:r>
          </w:p>
          <w:p w14:paraId="0FB85A3E">
            <w:r>
              <w:rPr>
                <w:rFonts w:hint="eastAsia"/>
              </w:rPr>
              <w:t>①私自带外来人员进入本单位监控中心；</w:t>
            </w:r>
          </w:p>
          <w:p w14:paraId="518AF42A">
            <w:r>
              <w:rPr>
                <w:rFonts w:hint="eastAsia"/>
              </w:rPr>
              <w:t>②将本单位物品借予他人、挪用本单位物品。</w:t>
            </w:r>
          </w:p>
        </w:tc>
        <w:tc>
          <w:tcPr>
            <w:tcW w:w="861" w:type="dxa"/>
            <w:vAlign w:val="center"/>
          </w:tcPr>
          <w:p w14:paraId="40E7DE43">
            <w:pPr>
              <w:jc w:val="center"/>
            </w:pPr>
            <w:r>
              <w:rPr>
                <w:rFonts w:hint="eastAsia"/>
              </w:rPr>
              <w:t>4</w:t>
            </w:r>
          </w:p>
        </w:tc>
        <w:tc>
          <w:tcPr>
            <w:tcW w:w="1765" w:type="dxa"/>
            <w:vAlign w:val="center"/>
          </w:tcPr>
          <w:p w14:paraId="260E006D">
            <w:r>
              <w:rPr>
                <w:rFonts w:hint="eastAsia"/>
              </w:rPr>
              <w:t>每发现一项/次不符合要求，扣</w:t>
            </w:r>
            <w:r>
              <w:t>0.5</w:t>
            </w:r>
            <w:r>
              <w:rPr>
                <w:rFonts w:hint="eastAsia"/>
              </w:rPr>
              <w:t>分。</w:t>
            </w:r>
          </w:p>
        </w:tc>
        <w:tc>
          <w:tcPr>
            <w:tcW w:w="1133" w:type="dxa"/>
          </w:tcPr>
          <w:p w14:paraId="590D7F61"/>
        </w:tc>
      </w:tr>
      <w:tr w14:paraId="5BE6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46" w:type="dxa"/>
            <w:vMerge w:val="restart"/>
            <w:textDirection w:val="tbRlV"/>
            <w:vAlign w:val="center"/>
          </w:tcPr>
          <w:p w14:paraId="3EA97075">
            <w:pPr>
              <w:jc w:val="center"/>
            </w:pPr>
            <w:r>
              <w:rPr>
                <w:rFonts w:hint="eastAsia"/>
              </w:rPr>
              <w:t>二、消防设施设备维护保养质量（60分）</w:t>
            </w:r>
          </w:p>
        </w:tc>
        <w:tc>
          <w:tcPr>
            <w:tcW w:w="5775" w:type="dxa"/>
            <w:vAlign w:val="center"/>
          </w:tcPr>
          <w:p w14:paraId="4F888B18">
            <w:r>
              <w:rPr>
                <w:rFonts w:hint="eastAsia"/>
              </w:rPr>
              <w:t>1、火灾自动报警系统</w:t>
            </w:r>
          </w:p>
          <w:p w14:paraId="3F9F6D44">
            <w:r>
              <w:rPr>
                <w:rFonts w:hint="eastAsia"/>
              </w:rPr>
              <w:t>①消防报警控制主机正常运行；</w:t>
            </w:r>
          </w:p>
          <w:p w14:paraId="02734609">
            <w:r>
              <w:rPr>
                <w:rFonts w:hint="eastAsia"/>
              </w:rPr>
              <w:t>②各种探测器、模块正常运行；</w:t>
            </w:r>
          </w:p>
          <w:p w14:paraId="2F5970B5">
            <w:r>
              <w:rPr>
                <w:rFonts w:hint="eastAsia"/>
              </w:rPr>
              <w:t>③信号及控制线路正常运行；</w:t>
            </w:r>
          </w:p>
          <w:p w14:paraId="2A612DEF">
            <w:r>
              <w:rPr>
                <w:rFonts w:hint="eastAsia"/>
              </w:rPr>
              <w:t>④警铃及报警按钮等周边设施正常运行。</w:t>
            </w:r>
          </w:p>
        </w:tc>
        <w:tc>
          <w:tcPr>
            <w:tcW w:w="861" w:type="dxa"/>
            <w:vAlign w:val="center"/>
          </w:tcPr>
          <w:p w14:paraId="3C3D7124">
            <w:pPr>
              <w:jc w:val="center"/>
            </w:pPr>
            <w:r>
              <w:rPr>
                <w:rFonts w:hint="eastAsia"/>
              </w:rPr>
              <w:t>8</w:t>
            </w:r>
          </w:p>
        </w:tc>
        <w:tc>
          <w:tcPr>
            <w:tcW w:w="1765" w:type="dxa"/>
            <w:vAlign w:val="center"/>
          </w:tcPr>
          <w:p w14:paraId="696C79ED">
            <w:r>
              <w:rPr>
                <w:rFonts w:hint="eastAsia"/>
              </w:rPr>
              <w:t>每发现一项/次不符合要求，扣</w:t>
            </w:r>
            <w:r>
              <w:t>0.5</w:t>
            </w:r>
            <w:r>
              <w:rPr>
                <w:rFonts w:hint="eastAsia"/>
              </w:rPr>
              <w:t>分。</w:t>
            </w:r>
          </w:p>
        </w:tc>
        <w:tc>
          <w:tcPr>
            <w:tcW w:w="1133" w:type="dxa"/>
          </w:tcPr>
          <w:p w14:paraId="08AC4EB3"/>
        </w:tc>
      </w:tr>
      <w:tr w14:paraId="48EE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46" w:type="dxa"/>
            <w:vMerge w:val="continue"/>
            <w:vAlign w:val="center"/>
          </w:tcPr>
          <w:p w14:paraId="1CAA4B7F">
            <w:pPr>
              <w:jc w:val="center"/>
            </w:pPr>
          </w:p>
        </w:tc>
        <w:tc>
          <w:tcPr>
            <w:tcW w:w="5775" w:type="dxa"/>
            <w:vAlign w:val="center"/>
          </w:tcPr>
          <w:p w14:paraId="6BDC113B">
            <w:r>
              <w:rPr>
                <w:rFonts w:hint="eastAsia"/>
              </w:rPr>
              <w:t>2、喷淋系统</w:t>
            </w:r>
          </w:p>
          <w:p w14:paraId="60632718">
            <w:r>
              <w:rPr>
                <w:rFonts w:hint="eastAsia"/>
              </w:rPr>
              <w:t>①喷淋水泵正常运行，每月至少有一次巡查记录；</w:t>
            </w:r>
          </w:p>
          <w:p w14:paraId="6E648CDA">
            <w:r>
              <w:rPr>
                <w:rFonts w:hint="eastAsia"/>
              </w:rPr>
              <w:t>②系统管道及控制阀门正常运行，开关应动作灵活；</w:t>
            </w:r>
          </w:p>
          <w:p w14:paraId="24B24F3D">
            <w:r>
              <w:rPr>
                <w:rFonts w:hint="eastAsia"/>
              </w:rPr>
              <w:t>③水流指示器正常运行，外表无损坏，开关应动作灵活；</w:t>
            </w:r>
          </w:p>
          <w:p w14:paraId="27A53BED">
            <w:r>
              <w:rPr>
                <w:rFonts w:hint="eastAsia"/>
              </w:rPr>
              <w:t>④湿式报警阀正常运行，外表无损坏，开关应动作灵活；</w:t>
            </w:r>
          </w:p>
          <w:p w14:paraId="7711F18B">
            <w:r>
              <w:rPr>
                <w:rFonts w:hint="eastAsia"/>
              </w:rPr>
              <w:t>⑤水力警铃正常运行，外表无损坏；</w:t>
            </w:r>
          </w:p>
          <w:p w14:paraId="577562DE">
            <w:r>
              <w:rPr>
                <w:rFonts w:hint="eastAsia"/>
              </w:rPr>
              <w:t>⑥医院各位置喷淋头无损坏，无灰尘。</w:t>
            </w:r>
          </w:p>
        </w:tc>
        <w:tc>
          <w:tcPr>
            <w:tcW w:w="861" w:type="dxa"/>
            <w:vAlign w:val="center"/>
          </w:tcPr>
          <w:p w14:paraId="62370F34">
            <w:pPr>
              <w:jc w:val="center"/>
            </w:pPr>
            <w:r>
              <w:rPr>
                <w:rFonts w:hint="eastAsia"/>
              </w:rPr>
              <w:t>6</w:t>
            </w:r>
          </w:p>
        </w:tc>
        <w:tc>
          <w:tcPr>
            <w:tcW w:w="1765" w:type="dxa"/>
            <w:vAlign w:val="center"/>
          </w:tcPr>
          <w:p w14:paraId="3DB39150">
            <w:r>
              <w:rPr>
                <w:rFonts w:hint="eastAsia"/>
              </w:rPr>
              <w:t>每发现一项/次不符合要求，扣</w:t>
            </w:r>
            <w:r>
              <w:t>0.5</w:t>
            </w:r>
            <w:r>
              <w:rPr>
                <w:rFonts w:hint="eastAsia"/>
              </w:rPr>
              <w:t>分。</w:t>
            </w:r>
          </w:p>
        </w:tc>
        <w:tc>
          <w:tcPr>
            <w:tcW w:w="1133" w:type="dxa"/>
          </w:tcPr>
          <w:p w14:paraId="445D95A8"/>
        </w:tc>
      </w:tr>
      <w:tr w14:paraId="477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46" w:type="dxa"/>
            <w:vMerge w:val="continue"/>
            <w:vAlign w:val="center"/>
          </w:tcPr>
          <w:p w14:paraId="18E22317">
            <w:pPr>
              <w:jc w:val="center"/>
            </w:pPr>
          </w:p>
        </w:tc>
        <w:tc>
          <w:tcPr>
            <w:tcW w:w="5775" w:type="dxa"/>
            <w:vAlign w:val="center"/>
          </w:tcPr>
          <w:p w14:paraId="23E247BA">
            <w:r>
              <w:rPr>
                <w:rFonts w:hint="eastAsia"/>
              </w:rPr>
              <w:t>3、消防栓系统</w:t>
            </w:r>
          </w:p>
          <w:p w14:paraId="6BB9A6B4">
            <w:r>
              <w:rPr>
                <w:rFonts w:hint="eastAsia"/>
              </w:rPr>
              <w:t>①消防水泵正常运行，启动后运行无异响；</w:t>
            </w:r>
          </w:p>
          <w:p w14:paraId="22A937D0">
            <w:r>
              <w:rPr>
                <w:rFonts w:hint="eastAsia"/>
              </w:rPr>
              <w:t>②室内、外消防栓外观正常，内部配件齐全；</w:t>
            </w:r>
          </w:p>
          <w:p w14:paraId="703086A4">
            <w:r>
              <w:rPr>
                <w:rFonts w:hint="eastAsia"/>
              </w:rPr>
              <w:t>③系统管道及控制阀门正常，无损坏，无漏水；</w:t>
            </w:r>
          </w:p>
          <w:p w14:paraId="5D330FAF">
            <w:r>
              <w:rPr>
                <w:rFonts w:hint="eastAsia"/>
              </w:rPr>
              <w:t>④每月一次检查签名及更换消防封条。</w:t>
            </w:r>
          </w:p>
        </w:tc>
        <w:tc>
          <w:tcPr>
            <w:tcW w:w="861" w:type="dxa"/>
            <w:vAlign w:val="center"/>
          </w:tcPr>
          <w:p w14:paraId="1BFA27F2">
            <w:pPr>
              <w:jc w:val="center"/>
            </w:pPr>
            <w:r>
              <w:rPr>
                <w:rFonts w:hint="eastAsia"/>
              </w:rPr>
              <w:t>4</w:t>
            </w:r>
          </w:p>
        </w:tc>
        <w:tc>
          <w:tcPr>
            <w:tcW w:w="1765" w:type="dxa"/>
            <w:vAlign w:val="center"/>
          </w:tcPr>
          <w:p w14:paraId="2EEBC185">
            <w:r>
              <w:rPr>
                <w:rFonts w:hint="eastAsia"/>
              </w:rPr>
              <w:t>每发现一项/次不符合要求，扣</w:t>
            </w:r>
            <w:r>
              <w:t>0.5</w:t>
            </w:r>
            <w:r>
              <w:rPr>
                <w:rFonts w:hint="eastAsia"/>
              </w:rPr>
              <w:t>分。</w:t>
            </w:r>
          </w:p>
        </w:tc>
        <w:tc>
          <w:tcPr>
            <w:tcW w:w="1133" w:type="dxa"/>
          </w:tcPr>
          <w:p w14:paraId="6203E653"/>
        </w:tc>
      </w:tr>
      <w:tr w14:paraId="12C4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46" w:type="dxa"/>
            <w:vMerge w:val="continue"/>
            <w:vAlign w:val="center"/>
          </w:tcPr>
          <w:p w14:paraId="76B1DA05">
            <w:pPr>
              <w:jc w:val="center"/>
            </w:pPr>
          </w:p>
        </w:tc>
        <w:tc>
          <w:tcPr>
            <w:tcW w:w="5775" w:type="dxa"/>
            <w:vAlign w:val="center"/>
          </w:tcPr>
          <w:p w14:paraId="497195BE">
            <w:r>
              <w:rPr>
                <w:rFonts w:hint="eastAsia"/>
              </w:rPr>
              <w:t>4、气体灭火系统</w:t>
            </w:r>
          </w:p>
          <w:p w14:paraId="66456C8D">
            <w:r>
              <w:rPr>
                <w:rFonts w:hint="eastAsia"/>
              </w:rPr>
              <w:t>①报警主机正常运行，外表无损坏，开关应动作灵活；</w:t>
            </w:r>
          </w:p>
          <w:p w14:paraId="6DDF6200">
            <w:r>
              <w:rPr>
                <w:rFonts w:hint="eastAsia"/>
              </w:rPr>
              <w:t>②系统线路、探测器、警铃等设备外表无损坏，开关应动作灵活；</w:t>
            </w:r>
          </w:p>
          <w:p w14:paraId="3A96D698">
            <w:r>
              <w:rPr>
                <w:rFonts w:hint="eastAsia"/>
              </w:rPr>
              <w:t>③系统管道正常，外表无生锈脱漆；</w:t>
            </w:r>
          </w:p>
          <w:p w14:paraId="69339BBB">
            <w:r>
              <w:rPr>
                <w:rFonts w:hint="eastAsia"/>
              </w:rPr>
              <w:t>④手动、自动转换装置及报警器正常运行，开关应动作灵活；</w:t>
            </w:r>
          </w:p>
          <w:p w14:paraId="6FB52D41">
            <w:r>
              <w:rPr>
                <w:rFonts w:hint="eastAsia"/>
              </w:rPr>
              <w:t>⑤气瓶气压正常，外观正常，外表无生锈脱漆。</w:t>
            </w:r>
          </w:p>
        </w:tc>
        <w:tc>
          <w:tcPr>
            <w:tcW w:w="861" w:type="dxa"/>
            <w:vAlign w:val="center"/>
          </w:tcPr>
          <w:p w14:paraId="72AF26B8">
            <w:pPr>
              <w:jc w:val="center"/>
            </w:pPr>
            <w:r>
              <w:rPr>
                <w:rFonts w:hint="eastAsia"/>
              </w:rPr>
              <w:t>6</w:t>
            </w:r>
          </w:p>
        </w:tc>
        <w:tc>
          <w:tcPr>
            <w:tcW w:w="1765" w:type="dxa"/>
            <w:vAlign w:val="center"/>
          </w:tcPr>
          <w:p w14:paraId="6427196A">
            <w:r>
              <w:rPr>
                <w:rFonts w:hint="eastAsia"/>
              </w:rPr>
              <w:t>每发现一项/次不符合要求，扣</w:t>
            </w:r>
            <w:r>
              <w:t>0.5</w:t>
            </w:r>
            <w:r>
              <w:rPr>
                <w:rFonts w:hint="eastAsia"/>
              </w:rPr>
              <w:t>分。</w:t>
            </w:r>
          </w:p>
        </w:tc>
        <w:tc>
          <w:tcPr>
            <w:tcW w:w="1133" w:type="dxa"/>
          </w:tcPr>
          <w:p w14:paraId="3A582A87"/>
        </w:tc>
      </w:tr>
      <w:tr w14:paraId="6F76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46" w:type="dxa"/>
            <w:vMerge w:val="continue"/>
            <w:vAlign w:val="center"/>
          </w:tcPr>
          <w:p w14:paraId="6C44A4A0">
            <w:pPr>
              <w:jc w:val="center"/>
            </w:pPr>
          </w:p>
        </w:tc>
        <w:tc>
          <w:tcPr>
            <w:tcW w:w="5775" w:type="dxa"/>
            <w:vAlign w:val="center"/>
          </w:tcPr>
          <w:p w14:paraId="37EC18E5">
            <w:r>
              <w:rPr>
                <w:rFonts w:hint="eastAsia"/>
              </w:rPr>
              <w:t>5、防火门</w:t>
            </w:r>
          </w:p>
          <w:p w14:paraId="69A86F9E">
            <w:r>
              <w:rPr>
                <w:rFonts w:hint="eastAsia"/>
              </w:rPr>
              <w:t>①防火门门体外观正常，常闭式防火门能自动关闭；</w:t>
            </w:r>
          </w:p>
          <w:p w14:paraId="47594FEA">
            <w:r>
              <w:rPr>
                <w:rFonts w:hint="eastAsia"/>
              </w:rPr>
              <w:t>②闭门器外观正常，无损坏；</w:t>
            </w:r>
          </w:p>
          <w:p w14:paraId="50B27571">
            <w:r>
              <w:rPr>
                <w:rFonts w:hint="eastAsia"/>
              </w:rPr>
              <w:t>③常闭式防火门不能上锁。</w:t>
            </w:r>
          </w:p>
        </w:tc>
        <w:tc>
          <w:tcPr>
            <w:tcW w:w="861" w:type="dxa"/>
            <w:vAlign w:val="center"/>
          </w:tcPr>
          <w:p w14:paraId="1139192B">
            <w:pPr>
              <w:jc w:val="center"/>
            </w:pPr>
            <w:r>
              <w:rPr>
                <w:rFonts w:hint="eastAsia"/>
              </w:rPr>
              <w:t>4</w:t>
            </w:r>
          </w:p>
        </w:tc>
        <w:tc>
          <w:tcPr>
            <w:tcW w:w="1765" w:type="dxa"/>
            <w:vAlign w:val="center"/>
          </w:tcPr>
          <w:p w14:paraId="7EB6519D">
            <w:r>
              <w:rPr>
                <w:rFonts w:hint="eastAsia"/>
              </w:rPr>
              <w:t>每发现一项/次不符合要求，扣</w:t>
            </w:r>
            <w:r>
              <w:t>0.5</w:t>
            </w:r>
            <w:r>
              <w:rPr>
                <w:rFonts w:hint="eastAsia"/>
              </w:rPr>
              <w:t>分。</w:t>
            </w:r>
          </w:p>
        </w:tc>
        <w:tc>
          <w:tcPr>
            <w:tcW w:w="1133" w:type="dxa"/>
          </w:tcPr>
          <w:p w14:paraId="1EB66025"/>
        </w:tc>
      </w:tr>
      <w:tr w14:paraId="2E0B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46" w:type="dxa"/>
            <w:vMerge w:val="continue"/>
            <w:vAlign w:val="center"/>
          </w:tcPr>
          <w:p w14:paraId="56531725">
            <w:pPr>
              <w:jc w:val="center"/>
            </w:pPr>
          </w:p>
        </w:tc>
        <w:tc>
          <w:tcPr>
            <w:tcW w:w="5775" w:type="dxa"/>
            <w:vAlign w:val="center"/>
          </w:tcPr>
          <w:p w14:paraId="194E272C">
            <w:r>
              <w:rPr>
                <w:rFonts w:hint="eastAsia"/>
              </w:rPr>
              <w:t>6、防火卷帘</w:t>
            </w:r>
          </w:p>
          <w:p w14:paraId="299E0B05">
            <w:r>
              <w:rPr>
                <w:rFonts w:hint="eastAsia"/>
              </w:rPr>
              <w:t>①防火卷帘控制模块正常运行，开关应动作灵活；</w:t>
            </w:r>
          </w:p>
          <w:p w14:paraId="08F40E68">
            <w:r>
              <w:rPr>
                <w:rFonts w:hint="eastAsia"/>
              </w:rPr>
              <w:t>②防火卷帘手动控制开关外观正常，开关手动操作正常，应动作灵活；</w:t>
            </w:r>
          </w:p>
          <w:p w14:paraId="3F68EBCC">
            <w:r>
              <w:rPr>
                <w:rFonts w:hint="eastAsia"/>
              </w:rPr>
              <w:t>③防火卷帘帘体外观正常，无脱落，开关应动作灵活。</w:t>
            </w:r>
          </w:p>
        </w:tc>
        <w:tc>
          <w:tcPr>
            <w:tcW w:w="861" w:type="dxa"/>
            <w:vAlign w:val="center"/>
          </w:tcPr>
          <w:p w14:paraId="21E0204C">
            <w:pPr>
              <w:jc w:val="center"/>
            </w:pPr>
            <w:r>
              <w:rPr>
                <w:rFonts w:hint="eastAsia"/>
              </w:rPr>
              <w:t>8</w:t>
            </w:r>
          </w:p>
        </w:tc>
        <w:tc>
          <w:tcPr>
            <w:tcW w:w="1765" w:type="dxa"/>
            <w:vAlign w:val="center"/>
          </w:tcPr>
          <w:p w14:paraId="423BA9FC">
            <w:r>
              <w:rPr>
                <w:rFonts w:hint="eastAsia"/>
              </w:rPr>
              <w:t>每发现一项/次不符合要求，扣</w:t>
            </w:r>
            <w:r>
              <w:t>0.5</w:t>
            </w:r>
            <w:r>
              <w:rPr>
                <w:rFonts w:hint="eastAsia"/>
              </w:rPr>
              <w:t>分。</w:t>
            </w:r>
          </w:p>
        </w:tc>
        <w:tc>
          <w:tcPr>
            <w:tcW w:w="1133" w:type="dxa"/>
          </w:tcPr>
          <w:p w14:paraId="0F8685B9"/>
        </w:tc>
      </w:tr>
      <w:tr w14:paraId="043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846" w:type="dxa"/>
            <w:vMerge w:val="continue"/>
            <w:vAlign w:val="center"/>
          </w:tcPr>
          <w:p w14:paraId="48D69461">
            <w:pPr>
              <w:jc w:val="center"/>
            </w:pPr>
          </w:p>
        </w:tc>
        <w:tc>
          <w:tcPr>
            <w:tcW w:w="5775" w:type="dxa"/>
            <w:vAlign w:val="center"/>
          </w:tcPr>
          <w:p w14:paraId="142CC20B">
            <w:r>
              <w:rPr>
                <w:rFonts w:hint="eastAsia"/>
              </w:rPr>
              <w:t>7、消防排烟系统</w:t>
            </w:r>
          </w:p>
          <w:p w14:paraId="20EA736D">
            <w:r>
              <w:rPr>
                <w:rFonts w:hint="eastAsia"/>
              </w:rPr>
              <w:t>①排烟风机控制箱外观正常，无脱落，外表无生锈；</w:t>
            </w:r>
          </w:p>
          <w:p w14:paraId="41A1229F">
            <w:r>
              <w:rPr>
                <w:rFonts w:hint="eastAsia"/>
              </w:rPr>
              <w:t>②排烟风机防火阀外观正常，开关应动作灵活；</w:t>
            </w:r>
          </w:p>
          <w:p w14:paraId="1C504AD6">
            <w:r>
              <w:rPr>
                <w:rFonts w:hint="eastAsia"/>
              </w:rPr>
              <w:t>③排烟机机身外观正常，无脱落，外表无生锈；</w:t>
            </w:r>
          </w:p>
          <w:p w14:paraId="78A9AAC5">
            <w:r>
              <w:rPr>
                <w:rFonts w:hint="eastAsia"/>
              </w:rPr>
              <w:t>④每月一次检查签名及更换消防封条；</w:t>
            </w:r>
          </w:p>
          <w:p w14:paraId="57176F0C">
            <w:r>
              <w:rPr>
                <w:rFonts w:hint="eastAsia"/>
              </w:rPr>
              <w:t>⑤排烟机手动及自动启动正常。</w:t>
            </w:r>
          </w:p>
        </w:tc>
        <w:tc>
          <w:tcPr>
            <w:tcW w:w="861" w:type="dxa"/>
            <w:vAlign w:val="center"/>
          </w:tcPr>
          <w:p w14:paraId="2B59D02A">
            <w:pPr>
              <w:jc w:val="center"/>
            </w:pPr>
            <w:r>
              <w:rPr>
                <w:rFonts w:hint="eastAsia"/>
              </w:rPr>
              <w:t>8</w:t>
            </w:r>
          </w:p>
        </w:tc>
        <w:tc>
          <w:tcPr>
            <w:tcW w:w="1765" w:type="dxa"/>
            <w:vAlign w:val="center"/>
          </w:tcPr>
          <w:p w14:paraId="3621E08E">
            <w:r>
              <w:rPr>
                <w:rFonts w:hint="eastAsia"/>
              </w:rPr>
              <w:t>每发现一项/次不符合要求，扣</w:t>
            </w:r>
            <w:r>
              <w:t>0.5</w:t>
            </w:r>
            <w:r>
              <w:rPr>
                <w:rFonts w:hint="eastAsia"/>
              </w:rPr>
              <w:t>分。</w:t>
            </w:r>
          </w:p>
        </w:tc>
        <w:tc>
          <w:tcPr>
            <w:tcW w:w="1133" w:type="dxa"/>
          </w:tcPr>
          <w:p w14:paraId="18F3CC68"/>
        </w:tc>
      </w:tr>
      <w:tr w14:paraId="68EE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846" w:type="dxa"/>
            <w:vMerge w:val="continue"/>
            <w:vAlign w:val="center"/>
          </w:tcPr>
          <w:p w14:paraId="0F6E7B03">
            <w:pPr>
              <w:jc w:val="center"/>
            </w:pPr>
          </w:p>
        </w:tc>
        <w:tc>
          <w:tcPr>
            <w:tcW w:w="5775" w:type="dxa"/>
            <w:vAlign w:val="center"/>
          </w:tcPr>
          <w:p w14:paraId="67C0F6BD">
            <w:r>
              <w:rPr>
                <w:rFonts w:hint="eastAsia"/>
              </w:rPr>
              <w:t>8、消防广播系统</w:t>
            </w:r>
          </w:p>
          <w:p w14:paraId="1FA38D69">
            <w:r>
              <w:rPr>
                <w:rFonts w:hint="eastAsia"/>
              </w:rPr>
              <w:t>①消防广播主机正常运行，开关应动作灵活；</w:t>
            </w:r>
          </w:p>
          <w:p w14:paraId="4FCF413E">
            <w:r>
              <w:rPr>
                <w:rFonts w:hint="eastAsia"/>
              </w:rPr>
              <w:t>②消防广播喇叭外观正常，开启无杂音。</w:t>
            </w:r>
          </w:p>
        </w:tc>
        <w:tc>
          <w:tcPr>
            <w:tcW w:w="861" w:type="dxa"/>
            <w:vAlign w:val="center"/>
          </w:tcPr>
          <w:p w14:paraId="6C0038F6">
            <w:pPr>
              <w:jc w:val="center"/>
            </w:pPr>
            <w:r>
              <w:rPr>
                <w:rFonts w:hint="eastAsia"/>
              </w:rPr>
              <w:t>6</w:t>
            </w:r>
          </w:p>
        </w:tc>
        <w:tc>
          <w:tcPr>
            <w:tcW w:w="1765" w:type="dxa"/>
            <w:vAlign w:val="center"/>
          </w:tcPr>
          <w:p w14:paraId="727CA495">
            <w:r>
              <w:rPr>
                <w:rFonts w:hint="eastAsia"/>
              </w:rPr>
              <w:t>每发现一项/次不符合要求，扣</w:t>
            </w:r>
            <w:r>
              <w:t>0.5</w:t>
            </w:r>
            <w:r>
              <w:rPr>
                <w:rFonts w:hint="eastAsia"/>
              </w:rPr>
              <w:t>分。</w:t>
            </w:r>
          </w:p>
        </w:tc>
        <w:tc>
          <w:tcPr>
            <w:tcW w:w="1133" w:type="dxa"/>
          </w:tcPr>
          <w:p w14:paraId="7E72F225"/>
        </w:tc>
      </w:tr>
      <w:tr w14:paraId="6D54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46" w:type="dxa"/>
            <w:vMerge w:val="continue"/>
            <w:vAlign w:val="center"/>
          </w:tcPr>
          <w:p w14:paraId="12D7D00A">
            <w:pPr>
              <w:jc w:val="center"/>
            </w:pPr>
          </w:p>
        </w:tc>
        <w:tc>
          <w:tcPr>
            <w:tcW w:w="5775" w:type="dxa"/>
            <w:vAlign w:val="center"/>
          </w:tcPr>
          <w:p w14:paraId="0208AE1D">
            <w:r>
              <w:rPr>
                <w:rFonts w:hint="eastAsia"/>
              </w:rPr>
              <w:t>9、消防水泵</w:t>
            </w:r>
          </w:p>
          <w:p w14:paraId="3C99AE5C">
            <w:r>
              <w:rPr>
                <w:rFonts w:hint="eastAsia"/>
              </w:rPr>
              <w:t>①消防水泵机身外观正常，外表无生锈；</w:t>
            </w:r>
          </w:p>
          <w:p w14:paraId="54313AD2">
            <w:r>
              <w:rPr>
                <w:rFonts w:hint="eastAsia"/>
              </w:rPr>
              <w:t>②每周至少一次消防水泵手动及自动启动正常并签名记录；</w:t>
            </w:r>
          </w:p>
          <w:p w14:paraId="2A90CC2E">
            <w:r>
              <w:rPr>
                <w:rFonts w:hint="eastAsia"/>
              </w:rPr>
              <w:t>③消防水池水位正常。</w:t>
            </w:r>
          </w:p>
        </w:tc>
        <w:tc>
          <w:tcPr>
            <w:tcW w:w="861" w:type="dxa"/>
            <w:vAlign w:val="center"/>
          </w:tcPr>
          <w:p w14:paraId="445A0CDF">
            <w:pPr>
              <w:jc w:val="center"/>
            </w:pPr>
            <w:r>
              <w:rPr>
                <w:rFonts w:hint="eastAsia"/>
              </w:rPr>
              <w:t>6</w:t>
            </w:r>
          </w:p>
        </w:tc>
        <w:tc>
          <w:tcPr>
            <w:tcW w:w="1765" w:type="dxa"/>
            <w:vAlign w:val="center"/>
          </w:tcPr>
          <w:p w14:paraId="460986EE">
            <w:r>
              <w:rPr>
                <w:rFonts w:hint="eastAsia"/>
              </w:rPr>
              <w:t>每发现一项/次不符合要求，扣</w:t>
            </w:r>
            <w:r>
              <w:t>0.5</w:t>
            </w:r>
            <w:r>
              <w:rPr>
                <w:rFonts w:hint="eastAsia"/>
              </w:rPr>
              <w:t>分。</w:t>
            </w:r>
          </w:p>
        </w:tc>
        <w:tc>
          <w:tcPr>
            <w:tcW w:w="1133" w:type="dxa"/>
          </w:tcPr>
          <w:p w14:paraId="51AB216C"/>
        </w:tc>
      </w:tr>
      <w:tr w14:paraId="0AAA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46" w:type="dxa"/>
            <w:vMerge w:val="continue"/>
            <w:vAlign w:val="center"/>
          </w:tcPr>
          <w:p w14:paraId="41745A86">
            <w:pPr>
              <w:jc w:val="center"/>
            </w:pPr>
          </w:p>
        </w:tc>
        <w:tc>
          <w:tcPr>
            <w:tcW w:w="5775" w:type="dxa"/>
            <w:vAlign w:val="center"/>
          </w:tcPr>
          <w:p w14:paraId="6291B91B">
            <w:r>
              <w:rPr>
                <w:rFonts w:hint="eastAsia"/>
              </w:rPr>
              <w:t>10、其他消防设备</w:t>
            </w:r>
          </w:p>
          <w:p w14:paraId="42A6F7A2">
            <w:r>
              <w:rPr>
                <w:rFonts w:hint="eastAsia"/>
              </w:rPr>
              <w:t>①自动式灭火设备外观正常，保质期无过期；</w:t>
            </w:r>
          </w:p>
          <w:p w14:paraId="5B8F4558">
            <w:r>
              <w:rPr>
                <w:rFonts w:hint="eastAsia"/>
              </w:rPr>
              <w:t>②手动式灭火防火设备外观正常，压力正常，保质期无过期；</w:t>
            </w:r>
          </w:p>
          <w:p w14:paraId="6B8CBF74">
            <w:r>
              <w:rPr>
                <w:rFonts w:hint="eastAsia"/>
              </w:rPr>
              <w:t>③消防应急照明灯外观正常，应急放电时间正常；</w:t>
            </w:r>
          </w:p>
          <w:p w14:paraId="01E41AAF">
            <w:r>
              <w:rPr>
                <w:rFonts w:hint="eastAsia"/>
              </w:rPr>
              <w:t>④消防安全出口指示灯外观正常，灯光亮度正常，应急放电时间正常。</w:t>
            </w:r>
          </w:p>
        </w:tc>
        <w:tc>
          <w:tcPr>
            <w:tcW w:w="861" w:type="dxa"/>
            <w:vAlign w:val="center"/>
          </w:tcPr>
          <w:p w14:paraId="76F63E29">
            <w:pPr>
              <w:jc w:val="center"/>
            </w:pPr>
            <w:r>
              <w:rPr>
                <w:rFonts w:hint="eastAsia"/>
              </w:rPr>
              <w:t>4</w:t>
            </w:r>
          </w:p>
        </w:tc>
        <w:tc>
          <w:tcPr>
            <w:tcW w:w="1765" w:type="dxa"/>
            <w:vAlign w:val="center"/>
          </w:tcPr>
          <w:p w14:paraId="300BA2A4">
            <w:r>
              <w:rPr>
                <w:rFonts w:hint="eastAsia"/>
              </w:rPr>
              <w:t>每发现一项/次不符合要求，扣</w:t>
            </w:r>
            <w:r>
              <w:t>0.5</w:t>
            </w:r>
            <w:r>
              <w:rPr>
                <w:rFonts w:hint="eastAsia"/>
              </w:rPr>
              <w:t>分。</w:t>
            </w:r>
          </w:p>
        </w:tc>
        <w:tc>
          <w:tcPr>
            <w:tcW w:w="1133" w:type="dxa"/>
          </w:tcPr>
          <w:p w14:paraId="5967F815"/>
        </w:tc>
      </w:tr>
      <w:tr w14:paraId="40F4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80" w:type="dxa"/>
            <w:gridSpan w:val="5"/>
            <w:vAlign w:val="center"/>
          </w:tcPr>
          <w:p w14:paraId="352A31F3">
            <w:pPr>
              <w:jc w:val="center"/>
            </w:pPr>
            <w:r>
              <w:rPr>
                <w:rFonts w:hint="eastAsia"/>
              </w:rPr>
              <w:t>总得分：</w:t>
            </w:r>
          </w:p>
        </w:tc>
      </w:tr>
    </w:tbl>
    <w:p w14:paraId="1899267C">
      <w:pPr>
        <w:adjustRightInd w:val="0"/>
        <w:snapToGrid w:val="0"/>
        <w:spacing w:line="360" w:lineRule="auto"/>
        <w:rPr>
          <w:rFonts w:ascii="宋体" w:hAnsi="宋体"/>
          <w:szCs w:val="21"/>
        </w:rPr>
      </w:pPr>
      <w:r>
        <w:rPr>
          <w:rFonts w:hint="eastAsia" w:ascii="宋体" w:hAnsi="宋体"/>
          <w:szCs w:val="21"/>
        </w:rPr>
        <w:t>说明：</w:t>
      </w:r>
    </w:p>
    <w:p w14:paraId="224ABE9C">
      <w:pPr>
        <w:adjustRightInd w:val="0"/>
        <w:snapToGrid w:val="0"/>
        <w:spacing w:line="360" w:lineRule="auto"/>
        <w:rPr>
          <w:rFonts w:ascii="宋体" w:hAnsi="宋体"/>
          <w:szCs w:val="21"/>
        </w:rPr>
      </w:pPr>
      <w:r>
        <w:rPr>
          <w:rFonts w:hint="eastAsia" w:ascii="宋体" w:hAnsi="宋体"/>
          <w:szCs w:val="21"/>
        </w:rPr>
        <w:t>1、服务质量每月考核一次，跟随发票作为每期服务费的付款依据，考核不达标的按以下标准扣罚；</w:t>
      </w:r>
    </w:p>
    <w:p w14:paraId="7310CC25">
      <w:pPr>
        <w:adjustRightInd w:val="0"/>
        <w:snapToGrid w:val="0"/>
        <w:spacing w:line="360" w:lineRule="auto"/>
        <w:rPr>
          <w:rFonts w:ascii="宋体" w:hAnsi="宋体"/>
          <w:szCs w:val="21"/>
        </w:rPr>
      </w:pPr>
      <w:r>
        <w:rPr>
          <w:rFonts w:hint="eastAsia" w:ascii="宋体" w:hAnsi="宋体"/>
          <w:szCs w:val="21"/>
        </w:rPr>
        <w:t>2、考核评分100为满分，考核分为A、B、C、D四级，A≥95分，90分≤B＜95分，85分≤C＜90分，D＜85分；</w:t>
      </w:r>
    </w:p>
    <w:p w14:paraId="55DFF780">
      <w:pPr>
        <w:adjustRightInd w:val="0"/>
        <w:snapToGrid w:val="0"/>
        <w:spacing w:line="360" w:lineRule="auto"/>
        <w:rPr>
          <w:rFonts w:ascii="宋体" w:hAnsi="宋体" w:cs="宋体"/>
          <w:szCs w:val="21"/>
        </w:rPr>
      </w:pPr>
      <w:r>
        <w:rPr>
          <w:rFonts w:hint="eastAsia" w:ascii="宋体" w:hAnsi="宋体"/>
          <w:szCs w:val="21"/>
        </w:rPr>
        <w:t>3、以每月的服务费为基数，扣罚比例如下：A级不扣罚；B级扣罚当月5%服务费；C级扣罚当月10%服务费；D级扣罚当月20%服务费。连续两次考核为D级的，除扣罚当月20%服务费外，中标人还应向采购人支付违约金，且采购人有权单方面终止本合同。</w:t>
      </w:r>
    </w:p>
    <w:p w14:paraId="1B19E0F1">
      <w:pPr>
        <w:spacing w:line="360" w:lineRule="auto"/>
        <w:rPr>
          <w:rFonts w:ascii="宋体" w:hAnsi="宋体" w:cs="宋体"/>
        </w:rPr>
      </w:pPr>
    </w:p>
    <w:p w14:paraId="771A7D5F">
      <w:pPr>
        <w:spacing w:line="360" w:lineRule="auto"/>
        <w:rPr>
          <w:rFonts w:ascii="宋体" w:hAnsi="宋体" w:cs="宋体"/>
        </w:rPr>
      </w:pPr>
      <w:r>
        <w:rPr>
          <w:rFonts w:hint="eastAsia" w:ascii="宋体" w:hAnsi="宋体" w:cs="宋体"/>
        </w:rPr>
        <w:t>被考核单位负责人确认                                            委托方考核</w:t>
      </w:r>
    </w:p>
    <w:p w14:paraId="09B58378">
      <w:pPr>
        <w:spacing w:line="360" w:lineRule="auto"/>
        <w:rPr>
          <w:rFonts w:ascii="宋体" w:hAnsi="宋体" w:cs="宋体"/>
        </w:rPr>
      </w:pPr>
    </w:p>
    <w:p w14:paraId="53E2463F">
      <w:pPr>
        <w:spacing w:line="360" w:lineRule="auto"/>
        <w:rPr>
          <w:rFonts w:ascii="宋体" w:hAnsi="宋体" w:cs="宋体"/>
        </w:rPr>
      </w:pPr>
      <w:r>
        <w:rPr>
          <w:rFonts w:hint="eastAsia" w:ascii="宋体" w:hAnsi="宋体" w:cs="宋体"/>
        </w:rPr>
        <w:t>签名及盖章：</w:t>
      </w:r>
      <w:r>
        <w:rPr>
          <w:rFonts w:hint="eastAsia" w:ascii="宋体" w:hAnsi="宋体" w:cs="宋体"/>
          <w:u w:val="single"/>
        </w:rPr>
        <w:t xml:space="preserve">               </w:t>
      </w:r>
      <w:r>
        <w:rPr>
          <w:rFonts w:hint="eastAsia" w:ascii="宋体" w:hAnsi="宋体" w:cs="宋体"/>
        </w:rPr>
        <w:t xml:space="preserve">                                     签名及盖章：</w:t>
      </w:r>
      <w:r>
        <w:rPr>
          <w:rFonts w:hint="eastAsia" w:ascii="宋体" w:hAnsi="宋体" w:cs="宋体"/>
          <w:u w:val="single"/>
        </w:rPr>
        <w:t xml:space="preserve">              </w:t>
      </w:r>
    </w:p>
    <w:p w14:paraId="2E8AA3E3">
      <w:pPr>
        <w:wordWrap w:val="0"/>
        <w:spacing w:line="360" w:lineRule="auto"/>
        <w:jc w:val="right"/>
        <w:rPr>
          <w:rFonts w:ascii="宋体" w:hAnsi="宋体" w:cs="宋体"/>
          <w:color w:val="000000"/>
          <w:sz w:val="24"/>
          <w:u w:val="single"/>
        </w:rPr>
      </w:pPr>
    </w:p>
    <w:p w14:paraId="3A96EAB1">
      <w:pPr>
        <w:spacing w:line="360" w:lineRule="auto"/>
        <w:jc w:val="righ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u w:val="single"/>
        </w:rPr>
        <w:t xml:space="preserve">    </w:t>
      </w:r>
      <w:r>
        <w:rPr>
          <w:rFonts w:hint="eastAsia" w:ascii="宋体" w:hAnsi="宋体" w:cs="宋体"/>
          <w:color w:val="000000"/>
          <w:sz w:val="24"/>
        </w:rPr>
        <w:t>月</w:t>
      </w:r>
      <w:r>
        <w:rPr>
          <w:rFonts w:hint="eastAsia" w:ascii="宋体" w:hAnsi="宋体" w:cs="宋体"/>
          <w:u w:val="single"/>
        </w:rPr>
        <w:t xml:space="preserve">    </w:t>
      </w:r>
      <w:r>
        <w:rPr>
          <w:rFonts w:hint="eastAsia" w:ascii="宋体" w:hAnsi="宋体" w:cs="宋体"/>
          <w:color w:val="000000"/>
          <w:sz w:val="24"/>
        </w:rPr>
        <w:t>日</w:t>
      </w:r>
    </w:p>
    <w:p w14:paraId="4350360C">
      <w:pPr>
        <w:pStyle w:val="2"/>
      </w:pPr>
    </w:p>
    <w:p w14:paraId="467B0546">
      <w:pPr>
        <w:pStyle w:val="2"/>
      </w:pPr>
    </w:p>
    <w:p w14:paraId="3DEDB63F">
      <w:pPr>
        <w:pStyle w:val="2"/>
      </w:pPr>
    </w:p>
    <w:p w14:paraId="60BC5138">
      <w:pPr>
        <w:pStyle w:val="2"/>
      </w:pPr>
    </w:p>
    <w:p w14:paraId="2D6A3BE1">
      <w:pPr>
        <w:pStyle w:val="2"/>
      </w:pPr>
    </w:p>
    <w:p w14:paraId="022BA6EA">
      <w:pPr>
        <w:pStyle w:val="2"/>
      </w:pPr>
    </w:p>
    <w:p w14:paraId="44CF8ED2">
      <w:pPr>
        <w:pStyle w:val="2"/>
      </w:pPr>
    </w:p>
    <w:p w14:paraId="6C3FF24B">
      <w:pPr>
        <w:pStyle w:val="2"/>
        <w:rPr>
          <w:rFonts w:hint="eastAsia"/>
        </w:rPr>
      </w:pPr>
    </w:p>
    <w:p w14:paraId="4BD7B3E6">
      <w:pPr>
        <w:pStyle w:val="2"/>
        <w:rPr>
          <w:rFonts w:hint="eastAsia"/>
        </w:rPr>
      </w:pPr>
    </w:p>
    <w:p w14:paraId="168BB955">
      <w:pPr>
        <w:pStyle w:val="2"/>
        <w:rPr>
          <w:rFonts w:hint="eastAsia"/>
        </w:rPr>
      </w:pPr>
    </w:p>
    <w:p w14:paraId="720BBFF1">
      <w:pPr>
        <w:pStyle w:val="2"/>
      </w:pPr>
      <w:r>
        <w:rPr>
          <w:rFonts w:hint="eastAsia"/>
        </w:rPr>
        <w:t>附件：</w:t>
      </w:r>
    </w:p>
    <w:p w14:paraId="6D075EAE">
      <w:pPr>
        <w:pStyle w:val="2"/>
      </w:pPr>
      <w:r>
        <w:rPr>
          <w:rFonts w:hint="eastAsia"/>
        </w:rPr>
        <w:t>部分设备明细</w:t>
      </w:r>
    </w:p>
    <w:tbl>
      <w:tblPr>
        <w:tblStyle w:val="8"/>
        <w:tblW w:w="8471" w:type="dxa"/>
        <w:jc w:val="center"/>
        <w:tblLayout w:type="autofit"/>
        <w:tblCellMar>
          <w:top w:w="0" w:type="dxa"/>
          <w:left w:w="108" w:type="dxa"/>
          <w:bottom w:w="0" w:type="dxa"/>
          <w:right w:w="108" w:type="dxa"/>
        </w:tblCellMar>
      </w:tblPr>
      <w:tblGrid>
        <w:gridCol w:w="846"/>
        <w:gridCol w:w="2551"/>
        <w:gridCol w:w="1134"/>
        <w:gridCol w:w="1060"/>
        <w:gridCol w:w="2880"/>
      </w:tblGrid>
      <w:tr w14:paraId="7358FE36">
        <w:tblPrEx>
          <w:tblCellMar>
            <w:top w:w="0" w:type="dxa"/>
            <w:left w:w="108" w:type="dxa"/>
            <w:bottom w:w="0" w:type="dxa"/>
            <w:right w:w="108" w:type="dxa"/>
          </w:tblCellMar>
        </w:tblPrEx>
        <w:trPr>
          <w:trHeight w:val="402"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8E7FE6F">
            <w:pPr>
              <w:jc w:val="center"/>
              <w:rPr>
                <w:rFonts w:ascii="宋体" w:hAnsi="宋体" w:cs="宋体"/>
                <w:sz w:val="22"/>
                <w:szCs w:val="22"/>
              </w:rPr>
            </w:pPr>
            <w:r>
              <w:rPr>
                <w:rFonts w:hint="eastAsia" w:ascii="宋体" w:hAnsi="宋体" w:cs="宋体"/>
                <w:sz w:val="22"/>
                <w:szCs w:val="22"/>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5F655809">
            <w:pPr>
              <w:jc w:val="center"/>
              <w:rPr>
                <w:rFonts w:ascii="宋体" w:hAnsi="宋体" w:cs="宋体"/>
                <w:sz w:val="22"/>
                <w:szCs w:val="22"/>
              </w:rPr>
            </w:pPr>
            <w:r>
              <w:rPr>
                <w:rFonts w:hint="eastAsia" w:ascii="宋体" w:hAnsi="宋体" w:cs="宋体"/>
                <w:sz w:val="22"/>
                <w:szCs w:val="22"/>
              </w:rPr>
              <w:t>设备名称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74D52B02">
            <w:pPr>
              <w:jc w:val="center"/>
              <w:rPr>
                <w:rFonts w:ascii="宋体" w:hAnsi="宋体" w:cs="宋体"/>
                <w:sz w:val="22"/>
                <w:szCs w:val="22"/>
              </w:rPr>
            </w:pPr>
            <w:r>
              <w:rPr>
                <w:rFonts w:hint="eastAsia" w:ascii="宋体" w:hAnsi="宋体" w:cs="宋体"/>
                <w:sz w:val="22"/>
                <w:szCs w:val="22"/>
              </w:rPr>
              <w:t>数量</w:t>
            </w:r>
          </w:p>
        </w:tc>
        <w:tc>
          <w:tcPr>
            <w:tcW w:w="1060" w:type="dxa"/>
            <w:tcBorders>
              <w:top w:val="single" w:color="auto" w:sz="4" w:space="0"/>
              <w:left w:val="nil"/>
              <w:bottom w:val="single" w:color="auto" w:sz="4" w:space="0"/>
              <w:right w:val="single" w:color="auto" w:sz="4" w:space="0"/>
            </w:tcBorders>
            <w:shd w:val="clear" w:color="auto" w:fill="auto"/>
            <w:vAlign w:val="center"/>
          </w:tcPr>
          <w:p w14:paraId="3FEC81B7">
            <w:pPr>
              <w:jc w:val="center"/>
              <w:rPr>
                <w:rFonts w:ascii="宋体" w:hAnsi="宋体" w:cs="宋体"/>
                <w:sz w:val="22"/>
                <w:szCs w:val="22"/>
              </w:rPr>
            </w:pPr>
            <w:r>
              <w:rPr>
                <w:rFonts w:hint="eastAsia" w:ascii="宋体" w:hAnsi="宋体" w:cs="宋体"/>
                <w:sz w:val="22"/>
                <w:szCs w:val="22"/>
              </w:rPr>
              <w:t>单位</w:t>
            </w:r>
          </w:p>
        </w:tc>
        <w:tc>
          <w:tcPr>
            <w:tcW w:w="2880" w:type="dxa"/>
            <w:tcBorders>
              <w:top w:val="single" w:color="auto" w:sz="4" w:space="0"/>
              <w:left w:val="nil"/>
              <w:bottom w:val="single" w:color="auto" w:sz="4" w:space="0"/>
              <w:right w:val="single" w:color="auto" w:sz="4" w:space="0"/>
            </w:tcBorders>
            <w:shd w:val="clear" w:color="auto" w:fill="auto"/>
            <w:vAlign w:val="center"/>
          </w:tcPr>
          <w:p w14:paraId="4D6D2EB8">
            <w:pPr>
              <w:jc w:val="center"/>
              <w:rPr>
                <w:rFonts w:ascii="宋体" w:hAnsi="宋体" w:cs="宋体"/>
                <w:sz w:val="22"/>
                <w:szCs w:val="22"/>
              </w:rPr>
            </w:pPr>
            <w:r>
              <w:rPr>
                <w:rFonts w:hint="eastAsia" w:ascii="宋体" w:hAnsi="宋体" w:cs="宋体"/>
                <w:sz w:val="22"/>
                <w:szCs w:val="22"/>
              </w:rPr>
              <w:t>备注</w:t>
            </w:r>
          </w:p>
        </w:tc>
      </w:tr>
      <w:tr w14:paraId="11ECD3CA">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B6B6FB6">
            <w:pPr>
              <w:jc w:val="center"/>
              <w:rPr>
                <w:rFonts w:ascii="宋体" w:hAnsi="宋体" w:cs="宋体"/>
                <w:sz w:val="22"/>
                <w:szCs w:val="22"/>
              </w:rPr>
            </w:pPr>
            <w:r>
              <w:rPr>
                <w:rFonts w:hint="eastAsia" w:ascii="宋体" w:hAnsi="宋体" w:cs="宋体"/>
                <w:sz w:val="22"/>
                <w:szCs w:val="22"/>
              </w:rPr>
              <w:t>1</w:t>
            </w:r>
          </w:p>
        </w:tc>
        <w:tc>
          <w:tcPr>
            <w:tcW w:w="2551" w:type="dxa"/>
            <w:tcBorders>
              <w:top w:val="nil"/>
              <w:left w:val="nil"/>
              <w:bottom w:val="single" w:color="auto" w:sz="4" w:space="0"/>
              <w:right w:val="single" w:color="auto" w:sz="4" w:space="0"/>
            </w:tcBorders>
            <w:shd w:val="clear" w:color="auto" w:fill="auto"/>
            <w:vAlign w:val="center"/>
          </w:tcPr>
          <w:p w14:paraId="7988D20D">
            <w:pPr>
              <w:jc w:val="center"/>
              <w:rPr>
                <w:rFonts w:ascii="宋体" w:hAnsi="宋体" w:cs="宋体"/>
                <w:sz w:val="22"/>
                <w:szCs w:val="22"/>
              </w:rPr>
            </w:pPr>
            <w:r>
              <w:rPr>
                <w:rFonts w:hint="eastAsia" w:ascii="宋体" w:hAnsi="宋体" w:cs="宋体"/>
                <w:sz w:val="22"/>
                <w:szCs w:val="22"/>
              </w:rPr>
              <w:t>烟感</w:t>
            </w:r>
          </w:p>
        </w:tc>
        <w:tc>
          <w:tcPr>
            <w:tcW w:w="1134" w:type="dxa"/>
            <w:tcBorders>
              <w:top w:val="nil"/>
              <w:left w:val="nil"/>
              <w:bottom w:val="single" w:color="auto" w:sz="4" w:space="0"/>
              <w:right w:val="single" w:color="auto" w:sz="4" w:space="0"/>
            </w:tcBorders>
            <w:shd w:val="clear" w:color="auto" w:fill="auto"/>
            <w:vAlign w:val="center"/>
          </w:tcPr>
          <w:p w14:paraId="55B635D2">
            <w:pPr>
              <w:jc w:val="center"/>
              <w:rPr>
                <w:rFonts w:ascii="宋体" w:hAnsi="宋体" w:cs="宋体"/>
                <w:sz w:val="22"/>
                <w:szCs w:val="22"/>
              </w:rPr>
            </w:pPr>
            <w:r>
              <w:rPr>
                <w:rFonts w:hint="eastAsia" w:ascii="宋体" w:hAnsi="宋体" w:cs="宋体"/>
                <w:sz w:val="22"/>
                <w:szCs w:val="22"/>
              </w:rPr>
              <w:t>6379</w:t>
            </w:r>
          </w:p>
        </w:tc>
        <w:tc>
          <w:tcPr>
            <w:tcW w:w="1060" w:type="dxa"/>
            <w:tcBorders>
              <w:top w:val="nil"/>
              <w:left w:val="nil"/>
              <w:bottom w:val="single" w:color="auto" w:sz="4" w:space="0"/>
              <w:right w:val="single" w:color="auto" w:sz="4" w:space="0"/>
            </w:tcBorders>
            <w:shd w:val="clear" w:color="auto" w:fill="auto"/>
            <w:vAlign w:val="center"/>
          </w:tcPr>
          <w:p w14:paraId="46CBAFDC">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75C2000F">
            <w:pPr>
              <w:jc w:val="center"/>
              <w:rPr>
                <w:rFonts w:ascii="宋体" w:hAnsi="宋体" w:cs="宋体"/>
                <w:sz w:val="22"/>
                <w:szCs w:val="22"/>
              </w:rPr>
            </w:pPr>
            <w:r>
              <w:rPr>
                <w:rFonts w:hint="eastAsia" w:ascii="宋体" w:hAnsi="宋体" w:cs="宋体"/>
                <w:sz w:val="22"/>
                <w:szCs w:val="22"/>
              </w:rPr>
              <w:t>　海湾</w:t>
            </w:r>
          </w:p>
        </w:tc>
      </w:tr>
      <w:tr w14:paraId="1C73B1B2">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95FE870">
            <w:pPr>
              <w:jc w:val="center"/>
              <w:rPr>
                <w:rFonts w:ascii="宋体" w:hAnsi="宋体" w:cs="宋体"/>
                <w:sz w:val="22"/>
                <w:szCs w:val="22"/>
              </w:rPr>
            </w:pPr>
            <w:r>
              <w:rPr>
                <w:rFonts w:hint="eastAsia" w:ascii="宋体" w:hAnsi="宋体" w:cs="宋体"/>
                <w:sz w:val="22"/>
                <w:szCs w:val="22"/>
              </w:rPr>
              <w:t>2</w:t>
            </w:r>
          </w:p>
        </w:tc>
        <w:tc>
          <w:tcPr>
            <w:tcW w:w="2551" w:type="dxa"/>
            <w:tcBorders>
              <w:top w:val="nil"/>
              <w:left w:val="nil"/>
              <w:bottom w:val="single" w:color="auto" w:sz="4" w:space="0"/>
              <w:right w:val="single" w:color="auto" w:sz="4" w:space="0"/>
            </w:tcBorders>
            <w:shd w:val="clear" w:color="auto" w:fill="auto"/>
            <w:vAlign w:val="center"/>
          </w:tcPr>
          <w:p w14:paraId="0F30743D">
            <w:pPr>
              <w:jc w:val="center"/>
              <w:rPr>
                <w:rFonts w:ascii="宋体" w:hAnsi="宋体" w:cs="宋体"/>
                <w:sz w:val="22"/>
                <w:szCs w:val="22"/>
              </w:rPr>
            </w:pPr>
            <w:r>
              <w:rPr>
                <w:rFonts w:hint="eastAsia" w:ascii="宋体" w:hAnsi="宋体" w:cs="宋体"/>
                <w:sz w:val="22"/>
                <w:szCs w:val="22"/>
              </w:rPr>
              <w:t>温感</w:t>
            </w:r>
          </w:p>
        </w:tc>
        <w:tc>
          <w:tcPr>
            <w:tcW w:w="1134" w:type="dxa"/>
            <w:tcBorders>
              <w:top w:val="nil"/>
              <w:left w:val="nil"/>
              <w:bottom w:val="single" w:color="auto" w:sz="4" w:space="0"/>
              <w:right w:val="single" w:color="auto" w:sz="4" w:space="0"/>
            </w:tcBorders>
            <w:shd w:val="clear" w:color="auto" w:fill="auto"/>
            <w:vAlign w:val="center"/>
          </w:tcPr>
          <w:p w14:paraId="530E7AEE">
            <w:pPr>
              <w:jc w:val="center"/>
              <w:rPr>
                <w:rFonts w:ascii="宋体" w:hAnsi="宋体" w:cs="宋体"/>
                <w:sz w:val="22"/>
                <w:szCs w:val="22"/>
              </w:rPr>
            </w:pPr>
            <w:r>
              <w:rPr>
                <w:rFonts w:hint="eastAsia" w:ascii="宋体" w:hAnsi="宋体" w:cs="宋体"/>
                <w:sz w:val="22"/>
                <w:szCs w:val="22"/>
              </w:rPr>
              <w:t>2436</w:t>
            </w:r>
          </w:p>
        </w:tc>
        <w:tc>
          <w:tcPr>
            <w:tcW w:w="1060" w:type="dxa"/>
            <w:tcBorders>
              <w:top w:val="nil"/>
              <w:left w:val="nil"/>
              <w:bottom w:val="single" w:color="auto" w:sz="4" w:space="0"/>
              <w:right w:val="single" w:color="auto" w:sz="4" w:space="0"/>
            </w:tcBorders>
            <w:shd w:val="clear" w:color="auto" w:fill="auto"/>
            <w:vAlign w:val="center"/>
          </w:tcPr>
          <w:p w14:paraId="440AC118">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71B76832">
            <w:pPr>
              <w:jc w:val="center"/>
              <w:rPr>
                <w:rFonts w:ascii="宋体" w:hAnsi="宋体" w:cs="宋体"/>
                <w:sz w:val="22"/>
                <w:szCs w:val="22"/>
              </w:rPr>
            </w:pPr>
            <w:r>
              <w:rPr>
                <w:rFonts w:hint="eastAsia" w:ascii="宋体" w:hAnsi="宋体" w:cs="宋体"/>
                <w:sz w:val="22"/>
                <w:szCs w:val="22"/>
              </w:rPr>
              <w:t>　海湾</w:t>
            </w:r>
          </w:p>
        </w:tc>
      </w:tr>
      <w:tr w14:paraId="71E8DD0D">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24460A0">
            <w:pPr>
              <w:jc w:val="center"/>
              <w:rPr>
                <w:rFonts w:ascii="宋体" w:hAnsi="宋体" w:cs="宋体"/>
                <w:sz w:val="22"/>
                <w:szCs w:val="22"/>
              </w:rPr>
            </w:pPr>
            <w:r>
              <w:rPr>
                <w:rFonts w:hint="eastAsia" w:ascii="宋体" w:hAnsi="宋体" w:cs="宋体"/>
                <w:sz w:val="22"/>
                <w:szCs w:val="22"/>
              </w:rPr>
              <w:t>3</w:t>
            </w:r>
          </w:p>
        </w:tc>
        <w:tc>
          <w:tcPr>
            <w:tcW w:w="2551" w:type="dxa"/>
            <w:tcBorders>
              <w:top w:val="nil"/>
              <w:left w:val="nil"/>
              <w:bottom w:val="single" w:color="auto" w:sz="4" w:space="0"/>
              <w:right w:val="single" w:color="auto" w:sz="4" w:space="0"/>
            </w:tcBorders>
            <w:shd w:val="clear" w:color="auto" w:fill="auto"/>
            <w:vAlign w:val="center"/>
          </w:tcPr>
          <w:p w14:paraId="7565C545">
            <w:pPr>
              <w:jc w:val="center"/>
              <w:rPr>
                <w:rFonts w:ascii="宋体" w:hAnsi="宋体" w:cs="宋体"/>
                <w:sz w:val="22"/>
                <w:szCs w:val="22"/>
              </w:rPr>
            </w:pPr>
            <w:r>
              <w:rPr>
                <w:rFonts w:hint="eastAsia" w:ascii="宋体" w:hAnsi="宋体" w:cs="宋体"/>
                <w:sz w:val="22"/>
                <w:szCs w:val="22"/>
              </w:rPr>
              <w:t>室内消防栓</w:t>
            </w:r>
          </w:p>
        </w:tc>
        <w:tc>
          <w:tcPr>
            <w:tcW w:w="1134" w:type="dxa"/>
            <w:tcBorders>
              <w:top w:val="nil"/>
              <w:left w:val="nil"/>
              <w:bottom w:val="single" w:color="auto" w:sz="4" w:space="0"/>
              <w:right w:val="single" w:color="auto" w:sz="4" w:space="0"/>
            </w:tcBorders>
            <w:shd w:val="clear" w:color="auto" w:fill="auto"/>
            <w:vAlign w:val="center"/>
          </w:tcPr>
          <w:p w14:paraId="7EE70171">
            <w:pPr>
              <w:jc w:val="center"/>
              <w:rPr>
                <w:rFonts w:ascii="宋体" w:hAnsi="宋体" w:cs="宋体"/>
                <w:sz w:val="22"/>
                <w:szCs w:val="22"/>
              </w:rPr>
            </w:pPr>
            <w:r>
              <w:rPr>
                <w:rFonts w:hint="eastAsia" w:ascii="宋体" w:hAnsi="宋体" w:cs="宋体"/>
                <w:sz w:val="22"/>
                <w:szCs w:val="22"/>
              </w:rPr>
              <w:t>1045</w:t>
            </w:r>
          </w:p>
        </w:tc>
        <w:tc>
          <w:tcPr>
            <w:tcW w:w="1060" w:type="dxa"/>
            <w:tcBorders>
              <w:top w:val="nil"/>
              <w:left w:val="nil"/>
              <w:bottom w:val="single" w:color="auto" w:sz="4" w:space="0"/>
              <w:right w:val="single" w:color="auto" w:sz="4" w:space="0"/>
            </w:tcBorders>
            <w:shd w:val="clear" w:color="auto" w:fill="auto"/>
            <w:vAlign w:val="center"/>
          </w:tcPr>
          <w:p w14:paraId="1FBC2C70">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0D4F95E9">
            <w:pPr>
              <w:jc w:val="center"/>
              <w:rPr>
                <w:rFonts w:ascii="宋体" w:hAnsi="宋体" w:cs="宋体"/>
                <w:sz w:val="22"/>
                <w:szCs w:val="22"/>
              </w:rPr>
            </w:pPr>
            <w:r>
              <w:rPr>
                <w:rFonts w:hint="eastAsia" w:ascii="宋体" w:hAnsi="宋体" w:cs="宋体"/>
                <w:sz w:val="22"/>
                <w:szCs w:val="22"/>
              </w:rPr>
              <w:t>　</w:t>
            </w:r>
          </w:p>
        </w:tc>
      </w:tr>
      <w:tr w14:paraId="74DE16DB">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B7BFE31">
            <w:pPr>
              <w:jc w:val="center"/>
              <w:rPr>
                <w:rFonts w:ascii="宋体" w:hAnsi="宋体" w:cs="宋体"/>
                <w:sz w:val="22"/>
                <w:szCs w:val="22"/>
              </w:rPr>
            </w:pPr>
            <w:r>
              <w:rPr>
                <w:rFonts w:hint="eastAsia" w:ascii="宋体" w:hAnsi="宋体" w:cs="宋体"/>
                <w:sz w:val="22"/>
                <w:szCs w:val="22"/>
              </w:rPr>
              <w:t>4</w:t>
            </w:r>
          </w:p>
        </w:tc>
        <w:tc>
          <w:tcPr>
            <w:tcW w:w="2551" w:type="dxa"/>
            <w:tcBorders>
              <w:top w:val="nil"/>
              <w:left w:val="nil"/>
              <w:bottom w:val="single" w:color="auto" w:sz="4" w:space="0"/>
              <w:right w:val="single" w:color="auto" w:sz="4" w:space="0"/>
            </w:tcBorders>
            <w:shd w:val="clear" w:color="auto" w:fill="auto"/>
            <w:vAlign w:val="center"/>
          </w:tcPr>
          <w:p w14:paraId="7919BC8F">
            <w:pPr>
              <w:jc w:val="center"/>
              <w:rPr>
                <w:rFonts w:ascii="宋体" w:hAnsi="宋体" w:cs="宋体"/>
                <w:sz w:val="22"/>
                <w:szCs w:val="22"/>
              </w:rPr>
            </w:pPr>
            <w:r>
              <w:rPr>
                <w:rFonts w:hint="eastAsia" w:ascii="宋体" w:hAnsi="宋体" w:cs="宋体"/>
                <w:sz w:val="22"/>
                <w:szCs w:val="22"/>
              </w:rPr>
              <w:t>手提式干粉灭火器</w:t>
            </w:r>
          </w:p>
        </w:tc>
        <w:tc>
          <w:tcPr>
            <w:tcW w:w="1134" w:type="dxa"/>
            <w:tcBorders>
              <w:top w:val="nil"/>
              <w:left w:val="nil"/>
              <w:bottom w:val="single" w:color="auto" w:sz="4" w:space="0"/>
              <w:right w:val="single" w:color="auto" w:sz="4" w:space="0"/>
            </w:tcBorders>
            <w:shd w:val="clear" w:color="auto" w:fill="auto"/>
            <w:vAlign w:val="center"/>
          </w:tcPr>
          <w:p w14:paraId="14CC79C2">
            <w:pPr>
              <w:jc w:val="center"/>
              <w:rPr>
                <w:rFonts w:ascii="宋体" w:hAnsi="宋体" w:cs="宋体"/>
                <w:sz w:val="22"/>
                <w:szCs w:val="22"/>
              </w:rPr>
            </w:pPr>
            <w:r>
              <w:rPr>
                <w:rFonts w:hint="eastAsia" w:ascii="宋体" w:hAnsi="宋体" w:cs="宋体"/>
                <w:sz w:val="22"/>
                <w:szCs w:val="22"/>
              </w:rPr>
              <w:t>2570</w:t>
            </w:r>
          </w:p>
        </w:tc>
        <w:tc>
          <w:tcPr>
            <w:tcW w:w="1060" w:type="dxa"/>
            <w:tcBorders>
              <w:top w:val="nil"/>
              <w:left w:val="nil"/>
              <w:bottom w:val="single" w:color="auto" w:sz="4" w:space="0"/>
              <w:right w:val="single" w:color="auto" w:sz="4" w:space="0"/>
            </w:tcBorders>
            <w:shd w:val="clear" w:color="auto" w:fill="auto"/>
            <w:vAlign w:val="center"/>
          </w:tcPr>
          <w:p w14:paraId="3297E547">
            <w:pPr>
              <w:jc w:val="center"/>
              <w:rPr>
                <w:rFonts w:ascii="宋体" w:hAnsi="宋体" w:cs="宋体"/>
                <w:sz w:val="22"/>
                <w:szCs w:val="22"/>
              </w:rPr>
            </w:pPr>
            <w:r>
              <w:rPr>
                <w:rFonts w:hint="eastAsia" w:ascii="宋体" w:hAnsi="宋体" w:cs="宋体"/>
                <w:sz w:val="22"/>
                <w:szCs w:val="22"/>
              </w:rPr>
              <w:t>支</w:t>
            </w:r>
          </w:p>
        </w:tc>
        <w:tc>
          <w:tcPr>
            <w:tcW w:w="2880" w:type="dxa"/>
            <w:tcBorders>
              <w:top w:val="nil"/>
              <w:left w:val="nil"/>
              <w:bottom w:val="single" w:color="auto" w:sz="4" w:space="0"/>
              <w:right w:val="single" w:color="auto" w:sz="4" w:space="0"/>
            </w:tcBorders>
            <w:shd w:val="clear" w:color="auto" w:fill="auto"/>
            <w:vAlign w:val="center"/>
          </w:tcPr>
          <w:p w14:paraId="14C94BE4">
            <w:pPr>
              <w:jc w:val="center"/>
              <w:rPr>
                <w:rFonts w:ascii="宋体" w:hAnsi="宋体" w:cs="宋体"/>
                <w:sz w:val="22"/>
                <w:szCs w:val="22"/>
              </w:rPr>
            </w:pPr>
            <w:r>
              <w:rPr>
                <w:rFonts w:hint="eastAsia" w:ascii="宋体" w:hAnsi="宋体" w:cs="宋体"/>
                <w:sz w:val="22"/>
                <w:szCs w:val="22"/>
              </w:rPr>
              <w:t>　百勤</w:t>
            </w:r>
          </w:p>
        </w:tc>
      </w:tr>
      <w:tr w14:paraId="1F83013A">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3905DB5">
            <w:pPr>
              <w:jc w:val="center"/>
              <w:rPr>
                <w:rFonts w:ascii="宋体" w:hAnsi="宋体" w:cs="宋体"/>
                <w:sz w:val="22"/>
                <w:szCs w:val="22"/>
              </w:rPr>
            </w:pPr>
            <w:r>
              <w:rPr>
                <w:rFonts w:hint="eastAsia" w:ascii="宋体" w:hAnsi="宋体" w:cs="宋体"/>
                <w:sz w:val="22"/>
                <w:szCs w:val="22"/>
              </w:rPr>
              <w:t>5</w:t>
            </w:r>
          </w:p>
        </w:tc>
        <w:tc>
          <w:tcPr>
            <w:tcW w:w="2551" w:type="dxa"/>
            <w:tcBorders>
              <w:top w:val="nil"/>
              <w:left w:val="nil"/>
              <w:bottom w:val="single" w:color="auto" w:sz="4" w:space="0"/>
              <w:right w:val="single" w:color="auto" w:sz="4" w:space="0"/>
            </w:tcBorders>
            <w:shd w:val="clear" w:color="auto" w:fill="auto"/>
            <w:vAlign w:val="center"/>
          </w:tcPr>
          <w:p w14:paraId="0B46B2BC">
            <w:pPr>
              <w:jc w:val="center"/>
              <w:rPr>
                <w:rFonts w:ascii="宋体" w:hAnsi="宋体" w:cs="宋体"/>
                <w:sz w:val="22"/>
                <w:szCs w:val="22"/>
              </w:rPr>
            </w:pPr>
            <w:r>
              <w:rPr>
                <w:rFonts w:hint="eastAsia" w:ascii="宋体" w:hAnsi="宋体" w:cs="宋体"/>
                <w:sz w:val="22"/>
                <w:szCs w:val="22"/>
              </w:rPr>
              <w:t>启泵按钮</w:t>
            </w:r>
          </w:p>
        </w:tc>
        <w:tc>
          <w:tcPr>
            <w:tcW w:w="1134" w:type="dxa"/>
            <w:tcBorders>
              <w:top w:val="nil"/>
              <w:left w:val="nil"/>
              <w:bottom w:val="single" w:color="auto" w:sz="4" w:space="0"/>
              <w:right w:val="single" w:color="auto" w:sz="4" w:space="0"/>
            </w:tcBorders>
            <w:shd w:val="clear" w:color="auto" w:fill="auto"/>
            <w:vAlign w:val="center"/>
          </w:tcPr>
          <w:p w14:paraId="47804058">
            <w:pPr>
              <w:jc w:val="center"/>
              <w:rPr>
                <w:rFonts w:ascii="宋体" w:hAnsi="宋体" w:cs="宋体"/>
                <w:sz w:val="22"/>
                <w:szCs w:val="22"/>
              </w:rPr>
            </w:pPr>
            <w:r>
              <w:rPr>
                <w:rFonts w:hint="eastAsia" w:ascii="宋体" w:hAnsi="宋体" w:cs="宋体"/>
                <w:sz w:val="22"/>
                <w:szCs w:val="22"/>
              </w:rPr>
              <w:t>1023</w:t>
            </w:r>
          </w:p>
        </w:tc>
        <w:tc>
          <w:tcPr>
            <w:tcW w:w="1060" w:type="dxa"/>
            <w:tcBorders>
              <w:top w:val="nil"/>
              <w:left w:val="nil"/>
              <w:bottom w:val="single" w:color="auto" w:sz="4" w:space="0"/>
              <w:right w:val="single" w:color="auto" w:sz="4" w:space="0"/>
            </w:tcBorders>
            <w:shd w:val="clear" w:color="auto" w:fill="auto"/>
            <w:vAlign w:val="center"/>
          </w:tcPr>
          <w:p w14:paraId="04099B96">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51457EE9">
            <w:pPr>
              <w:jc w:val="center"/>
              <w:rPr>
                <w:rFonts w:ascii="宋体" w:hAnsi="宋体" w:cs="宋体"/>
                <w:sz w:val="22"/>
                <w:szCs w:val="22"/>
              </w:rPr>
            </w:pPr>
            <w:r>
              <w:rPr>
                <w:rFonts w:hint="eastAsia" w:ascii="宋体" w:hAnsi="宋体" w:cs="宋体"/>
                <w:sz w:val="22"/>
                <w:szCs w:val="22"/>
              </w:rPr>
              <w:t>　海湾</w:t>
            </w:r>
          </w:p>
        </w:tc>
      </w:tr>
      <w:tr w14:paraId="7C65958C">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AE49920">
            <w:pPr>
              <w:jc w:val="center"/>
              <w:rPr>
                <w:rFonts w:ascii="宋体" w:hAnsi="宋体" w:cs="宋体"/>
                <w:sz w:val="22"/>
                <w:szCs w:val="22"/>
              </w:rPr>
            </w:pPr>
            <w:r>
              <w:rPr>
                <w:rFonts w:hint="eastAsia" w:ascii="宋体" w:hAnsi="宋体" w:cs="宋体"/>
                <w:sz w:val="22"/>
                <w:szCs w:val="22"/>
              </w:rPr>
              <w:t>6</w:t>
            </w:r>
          </w:p>
        </w:tc>
        <w:tc>
          <w:tcPr>
            <w:tcW w:w="2551" w:type="dxa"/>
            <w:tcBorders>
              <w:top w:val="nil"/>
              <w:left w:val="nil"/>
              <w:bottom w:val="single" w:color="auto" w:sz="4" w:space="0"/>
              <w:right w:val="single" w:color="auto" w:sz="4" w:space="0"/>
            </w:tcBorders>
            <w:shd w:val="clear" w:color="auto" w:fill="auto"/>
            <w:vAlign w:val="center"/>
          </w:tcPr>
          <w:p w14:paraId="2A5CD7D6">
            <w:pPr>
              <w:jc w:val="center"/>
              <w:rPr>
                <w:rFonts w:ascii="宋体" w:hAnsi="宋体" w:cs="宋体"/>
                <w:sz w:val="22"/>
                <w:szCs w:val="22"/>
              </w:rPr>
            </w:pPr>
            <w:r>
              <w:rPr>
                <w:rFonts w:hint="eastAsia" w:ascii="宋体" w:hAnsi="宋体" w:cs="宋体"/>
                <w:sz w:val="22"/>
                <w:szCs w:val="22"/>
              </w:rPr>
              <w:t>手动火警按钮</w:t>
            </w:r>
          </w:p>
        </w:tc>
        <w:tc>
          <w:tcPr>
            <w:tcW w:w="1134" w:type="dxa"/>
            <w:tcBorders>
              <w:top w:val="nil"/>
              <w:left w:val="nil"/>
              <w:bottom w:val="single" w:color="auto" w:sz="4" w:space="0"/>
              <w:right w:val="single" w:color="auto" w:sz="4" w:space="0"/>
            </w:tcBorders>
            <w:shd w:val="clear" w:color="auto" w:fill="auto"/>
            <w:vAlign w:val="center"/>
          </w:tcPr>
          <w:p w14:paraId="4E1EFF0C">
            <w:pPr>
              <w:jc w:val="center"/>
              <w:rPr>
                <w:rFonts w:ascii="宋体" w:hAnsi="宋体" w:cs="宋体"/>
                <w:sz w:val="22"/>
                <w:szCs w:val="22"/>
              </w:rPr>
            </w:pPr>
            <w:r>
              <w:rPr>
                <w:rFonts w:hint="eastAsia" w:ascii="宋体" w:hAnsi="宋体" w:cs="宋体"/>
                <w:sz w:val="22"/>
                <w:szCs w:val="22"/>
              </w:rPr>
              <w:t>914</w:t>
            </w:r>
          </w:p>
        </w:tc>
        <w:tc>
          <w:tcPr>
            <w:tcW w:w="1060" w:type="dxa"/>
            <w:tcBorders>
              <w:top w:val="nil"/>
              <w:left w:val="nil"/>
              <w:bottom w:val="single" w:color="auto" w:sz="4" w:space="0"/>
              <w:right w:val="single" w:color="auto" w:sz="4" w:space="0"/>
            </w:tcBorders>
            <w:shd w:val="clear" w:color="auto" w:fill="auto"/>
            <w:vAlign w:val="center"/>
          </w:tcPr>
          <w:p w14:paraId="715B0D88">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0828A9B">
            <w:pPr>
              <w:jc w:val="center"/>
              <w:rPr>
                <w:rFonts w:ascii="宋体" w:hAnsi="宋体" w:cs="宋体"/>
                <w:sz w:val="22"/>
                <w:szCs w:val="22"/>
              </w:rPr>
            </w:pPr>
            <w:r>
              <w:rPr>
                <w:rFonts w:hint="eastAsia" w:ascii="宋体" w:hAnsi="宋体" w:cs="宋体"/>
                <w:sz w:val="22"/>
                <w:szCs w:val="22"/>
              </w:rPr>
              <w:t>　海湾</w:t>
            </w:r>
          </w:p>
        </w:tc>
      </w:tr>
      <w:tr w14:paraId="19071784">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3E9D302">
            <w:pPr>
              <w:jc w:val="center"/>
              <w:rPr>
                <w:rFonts w:ascii="宋体" w:hAnsi="宋体" w:cs="宋体"/>
                <w:sz w:val="22"/>
                <w:szCs w:val="22"/>
              </w:rPr>
            </w:pPr>
            <w:r>
              <w:rPr>
                <w:rFonts w:hint="eastAsia" w:ascii="宋体" w:hAnsi="宋体" w:cs="宋体"/>
                <w:sz w:val="22"/>
                <w:szCs w:val="22"/>
              </w:rPr>
              <w:t>7</w:t>
            </w:r>
          </w:p>
        </w:tc>
        <w:tc>
          <w:tcPr>
            <w:tcW w:w="2551" w:type="dxa"/>
            <w:tcBorders>
              <w:top w:val="nil"/>
              <w:left w:val="nil"/>
              <w:bottom w:val="single" w:color="auto" w:sz="4" w:space="0"/>
              <w:right w:val="single" w:color="auto" w:sz="4" w:space="0"/>
            </w:tcBorders>
            <w:shd w:val="clear" w:color="auto" w:fill="auto"/>
            <w:vAlign w:val="center"/>
          </w:tcPr>
          <w:p w14:paraId="6B3EDC30">
            <w:pPr>
              <w:jc w:val="center"/>
              <w:rPr>
                <w:rFonts w:ascii="宋体" w:hAnsi="宋体" w:cs="宋体"/>
                <w:sz w:val="22"/>
                <w:szCs w:val="22"/>
              </w:rPr>
            </w:pPr>
            <w:r>
              <w:rPr>
                <w:rFonts w:hint="eastAsia" w:ascii="宋体" w:hAnsi="宋体" w:cs="宋体"/>
                <w:sz w:val="22"/>
                <w:szCs w:val="22"/>
              </w:rPr>
              <w:t>讯响器</w:t>
            </w:r>
          </w:p>
        </w:tc>
        <w:tc>
          <w:tcPr>
            <w:tcW w:w="1134" w:type="dxa"/>
            <w:tcBorders>
              <w:top w:val="nil"/>
              <w:left w:val="nil"/>
              <w:bottom w:val="single" w:color="auto" w:sz="4" w:space="0"/>
              <w:right w:val="single" w:color="auto" w:sz="4" w:space="0"/>
            </w:tcBorders>
            <w:shd w:val="clear" w:color="auto" w:fill="auto"/>
            <w:vAlign w:val="center"/>
          </w:tcPr>
          <w:p w14:paraId="486703D6">
            <w:pPr>
              <w:jc w:val="center"/>
              <w:rPr>
                <w:rFonts w:ascii="宋体" w:hAnsi="宋体" w:cs="宋体"/>
                <w:sz w:val="22"/>
                <w:szCs w:val="22"/>
              </w:rPr>
            </w:pPr>
            <w:r>
              <w:rPr>
                <w:rFonts w:hint="eastAsia" w:ascii="宋体" w:hAnsi="宋体" w:cs="宋体"/>
                <w:sz w:val="22"/>
                <w:szCs w:val="22"/>
              </w:rPr>
              <w:t>886</w:t>
            </w:r>
          </w:p>
        </w:tc>
        <w:tc>
          <w:tcPr>
            <w:tcW w:w="1060" w:type="dxa"/>
            <w:tcBorders>
              <w:top w:val="nil"/>
              <w:left w:val="nil"/>
              <w:bottom w:val="single" w:color="auto" w:sz="4" w:space="0"/>
              <w:right w:val="single" w:color="auto" w:sz="4" w:space="0"/>
            </w:tcBorders>
            <w:shd w:val="clear" w:color="auto" w:fill="auto"/>
            <w:vAlign w:val="center"/>
          </w:tcPr>
          <w:p w14:paraId="5B66B0E6">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E2B357C">
            <w:pPr>
              <w:jc w:val="center"/>
              <w:rPr>
                <w:rFonts w:ascii="宋体" w:hAnsi="宋体" w:cs="宋体"/>
                <w:sz w:val="22"/>
                <w:szCs w:val="22"/>
              </w:rPr>
            </w:pPr>
            <w:r>
              <w:rPr>
                <w:rFonts w:hint="eastAsia" w:ascii="宋体" w:hAnsi="宋体" w:cs="宋体"/>
                <w:sz w:val="22"/>
                <w:szCs w:val="22"/>
              </w:rPr>
              <w:t>　海湾</w:t>
            </w:r>
          </w:p>
        </w:tc>
      </w:tr>
      <w:tr w14:paraId="4E0907B9">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BCB1014">
            <w:pPr>
              <w:jc w:val="center"/>
              <w:rPr>
                <w:rFonts w:ascii="宋体" w:hAnsi="宋体" w:cs="宋体"/>
                <w:sz w:val="22"/>
                <w:szCs w:val="22"/>
              </w:rPr>
            </w:pPr>
            <w:r>
              <w:rPr>
                <w:rFonts w:hint="eastAsia" w:ascii="宋体" w:hAnsi="宋体" w:cs="宋体"/>
                <w:sz w:val="22"/>
                <w:szCs w:val="22"/>
              </w:rPr>
              <w:t>8</w:t>
            </w:r>
          </w:p>
        </w:tc>
        <w:tc>
          <w:tcPr>
            <w:tcW w:w="2551" w:type="dxa"/>
            <w:tcBorders>
              <w:top w:val="nil"/>
              <w:left w:val="nil"/>
              <w:bottom w:val="single" w:color="auto" w:sz="4" w:space="0"/>
              <w:right w:val="single" w:color="auto" w:sz="4" w:space="0"/>
            </w:tcBorders>
            <w:shd w:val="clear" w:color="auto" w:fill="auto"/>
            <w:vAlign w:val="center"/>
          </w:tcPr>
          <w:p w14:paraId="18DF0E82">
            <w:pPr>
              <w:jc w:val="center"/>
              <w:rPr>
                <w:rFonts w:ascii="宋体" w:hAnsi="宋体" w:cs="宋体"/>
                <w:sz w:val="22"/>
                <w:szCs w:val="22"/>
              </w:rPr>
            </w:pPr>
            <w:r>
              <w:rPr>
                <w:rFonts w:hint="eastAsia" w:ascii="宋体" w:hAnsi="宋体" w:cs="宋体"/>
                <w:sz w:val="22"/>
                <w:szCs w:val="22"/>
              </w:rPr>
              <w:t>应急照明灯</w:t>
            </w:r>
          </w:p>
        </w:tc>
        <w:tc>
          <w:tcPr>
            <w:tcW w:w="1134" w:type="dxa"/>
            <w:tcBorders>
              <w:top w:val="nil"/>
              <w:left w:val="nil"/>
              <w:bottom w:val="single" w:color="auto" w:sz="4" w:space="0"/>
              <w:right w:val="single" w:color="auto" w:sz="4" w:space="0"/>
            </w:tcBorders>
            <w:shd w:val="clear" w:color="auto" w:fill="auto"/>
            <w:vAlign w:val="center"/>
          </w:tcPr>
          <w:p w14:paraId="0C81A6D0">
            <w:pPr>
              <w:jc w:val="center"/>
              <w:rPr>
                <w:rFonts w:ascii="宋体" w:hAnsi="宋体" w:cs="宋体"/>
                <w:sz w:val="22"/>
                <w:szCs w:val="22"/>
              </w:rPr>
            </w:pPr>
            <w:r>
              <w:rPr>
                <w:rFonts w:hint="eastAsia" w:ascii="宋体" w:hAnsi="宋体" w:cs="宋体"/>
                <w:sz w:val="22"/>
                <w:szCs w:val="22"/>
              </w:rPr>
              <w:t>1805</w:t>
            </w:r>
          </w:p>
        </w:tc>
        <w:tc>
          <w:tcPr>
            <w:tcW w:w="1060" w:type="dxa"/>
            <w:tcBorders>
              <w:top w:val="nil"/>
              <w:left w:val="nil"/>
              <w:bottom w:val="single" w:color="auto" w:sz="4" w:space="0"/>
              <w:right w:val="single" w:color="auto" w:sz="4" w:space="0"/>
            </w:tcBorders>
            <w:shd w:val="clear" w:color="auto" w:fill="auto"/>
            <w:vAlign w:val="center"/>
          </w:tcPr>
          <w:p w14:paraId="13D29863">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61A058F5">
            <w:pPr>
              <w:jc w:val="center"/>
              <w:rPr>
                <w:rFonts w:ascii="宋体" w:hAnsi="宋体" w:cs="宋体"/>
                <w:sz w:val="22"/>
                <w:szCs w:val="22"/>
              </w:rPr>
            </w:pPr>
            <w:r>
              <w:rPr>
                <w:rFonts w:hint="eastAsia" w:ascii="宋体" w:hAnsi="宋体" w:cs="宋体"/>
                <w:sz w:val="22"/>
                <w:szCs w:val="22"/>
              </w:rPr>
              <w:t>　振辉</w:t>
            </w:r>
          </w:p>
        </w:tc>
      </w:tr>
      <w:tr w14:paraId="414374C2">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22E3D57">
            <w:pPr>
              <w:jc w:val="center"/>
              <w:rPr>
                <w:rFonts w:ascii="宋体" w:hAnsi="宋体" w:cs="宋体"/>
                <w:sz w:val="22"/>
                <w:szCs w:val="22"/>
              </w:rPr>
            </w:pPr>
            <w:r>
              <w:rPr>
                <w:rFonts w:hint="eastAsia" w:ascii="宋体" w:hAnsi="宋体" w:cs="宋体"/>
                <w:sz w:val="22"/>
                <w:szCs w:val="22"/>
              </w:rPr>
              <w:t>9</w:t>
            </w:r>
          </w:p>
        </w:tc>
        <w:tc>
          <w:tcPr>
            <w:tcW w:w="2551" w:type="dxa"/>
            <w:tcBorders>
              <w:top w:val="nil"/>
              <w:left w:val="nil"/>
              <w:bottom w:val="single" w:color="auto" w:sz="4" w:space="0"/>
              <w:right w:val="single" w:color="auto" w:sz="4" w:space="0"/>
            </w:tcBorders>
            <w:shd w:val="clear" w:color="auto" w:fill="auto"/>
            <w:vAlign w:val="center"/>
          </w:tcPr>
          <w:p w14:paraId="4724D67A">
            <w:pPr>
              <w:jc w:val="center"/>
              <w:rPr>
                <w:rFonts w:ascii="宋体" w:hAnsi="宋体" w:cs="宋体"/>
                <w:sz w:val="22"/>
                <w:szCs w:val="22"/>
              </w:rPr>
            </w:pPr>
            <w:r>
              <w:rPr>
                <w:rFonts w:hint="eastAsia" w:ascii="宋体" w:hAnsi="宋体" w:cs="宋体"/>
                <w:sz w:val="22"/>
                <w:szCs w:val="22"/>
              </w:rPr>
              <w:t>疏散指示灯</w:t>
            </w:r>
          </w:p>
        </w:tc>
        <w:tc>
          <w:tcPr>
            <w:tcW w:w="1134" w:type="dxa"/>
            <w:tcBorders>
              <w:top w:val="nil"/>
              <w:left w:val="nil"/>
              <w:bottom w:val="single" w:color="auto" w:sz="4" w:space="0"/>
              <w:right w:val="single" w:color="auto" w:sz="4" w:space="0"/>
            </w:tcBorders>
            <w:shd w:val="clear" w:color="auto" w:fill="auto"/>
            <w:vAlign w:val="center"/>
          </w:tcPr>
          <w:p w14:paraId="626ABEFD">
            <w:pPr>
              <w:jc w:val="center"/>
              <w:rPr>
                <w:rFonts w:ascii="宋体" w:hAnsi="宋体" w:cs="宋体"/>
                <w:sz w:val="22"/>
                <w:szCs w:val="22"/>
              </w:rPr>
            </w:pPr>
            <w:r>
              <w:rPr>
                <w:rFonts w:hint="eastAsia" w:ascii="宋体" w:hAnsi="宋体" w:cs="宋体"/>
                <w:sz w:val="22"/>
                <w:szCs w:val="22"/>
              </w:rPr>
              <w:t>2218</w:t>
            </w:r>
          </w:p>
        </w:tc>
        <w:tc>
          <w:tcPr>
            <w:tcW w:w="1060" w:type="dxa"/>
            <w:tcBorders>
              <w:top w:val="nil"/>
              <w:left w:val="nil"/>
              <w:bottom w:val="single" w:color="auto" w:sz="4" w:space="0"/>
              <w:right w:val="single" w:color="auto" w:sz="4" w:space="0"/>
            </w:tcBorders>
            <w:shd w:val="clear" w:color="auto" w:fill="auto"/>
            <w:vAlign w:val="center"/>
          </w:tcPr>
          <w:p w14:paraId="3ABD3127">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5916AB8">
            <w:pPr>
              <w:jc w:val="center"/>
              <w:rPr>
                <w:rFonts w:ascii="宋体" w:hAnsi="宋体" w:cs="宋体"/>
                <w:sz w:val="22"/>
                <w:szCs w:val="22"/>
              </w:rPr>
            </w:pPr>
            <w:r>
              <w:rPr>
                <w:rFonts w:hint="eastAsia" w:ascii="宋体" w:hAnsi="宋体" w:cs="宋体"/>
                <w:sz w:val="22"/>
                <w:szCs w:val="22"/>
              </w:rPr>
              <w:t>　振辉</w:t>
            </w:r>
          </w:p>
        </w:tc>
      </w:tr>
      <w:tr w14:paraId="0CC513E7">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25FF1F9">
            <w:pPr>
              <w:jc w:val="center"/>
              <w:rPr>
                <w:rFonts w:ascii="宋体" w:hAnsi="宋体" w:cs="宋体"/>
                <w:sz w:val="22"/>
                <w:szCs w:val="22"/>
              </w:rPr>
            </w:pPr>
            <w:r>
              <w:rPr>
                <w:rFonts w:hint="eastAsia" w:ascii="宋体" w:hAnsi="宋体" w:cs="宋体"/>
                <w:sz w:val="22"/>
                <w:szCs w:val="22"/>
              </w:rPr>
              <w:t>10</w:t>
            </w:r>
          </w:p>
        </w:tc>
        <w:tc>
          <w:tcPr>
            <w:tcW w:w="2551" w:type="dxa"/>
            <w:tcBorders>
              <w:top w:val="nil"/>
              <w:left w:val="nil"/>
              <w:bottom w:val="single" w:color="auto" w:sz="4" w:space="0"/>
              <w:right w:val="single" w:color="auto" w:sz="4" w:space="0"/>
            </w:tcBorders>
            <w:shd w:val="clear" w:color="auto" w:fill="auto"/>
            <w:vAlign w:val="center"/>
          </w:tcPr>
          <w:p w14:paraId="3E6C7C52">
            <w:pPr>
              <w:jc w:val="center"/>
              <w:rPr>
                <w:rFonts w:ascii="宋体" w:hAnsi="宋体" w:cs="宋体"/>
                <w:sz w:val="22"/>
                <w:szCs w:val="22"/>
              </w:rPr>
            </w:pPr>
            <w:r>
              <w:rPr>
                <w:rFonts w:hint="eastAsia" w:ascii="宋体" w:hAnsi="宋体" w:cs="宋体"/>
                <w:sz w:val="22"/>
                <w:szCs w:val="22"/>
              </w:rPr>
              <w:t>喷淋头</w:t>
            </w:r>
          </w:p>
        </w:tc>
        <w:tc>
          <w:tcPr>
            <w:tcW w:w="1134" w:type="dxa"/>
            <w:tcBorders>
              <w:top w:val="nil"/>
              <w:left w:val="nil"/>
              <w:bottom w:val="single" w:color="auto" w:sz="4" w:space="0"/>
              <w:right w:val="single" w:color="auto" w:sz="4" w:space="0"/>
            </w:tcBorders>
            <w:shd w:val="clear" w:color="auto" w:fill="auto"/>
            <w:vAlign w:val="center"/>
          </w:tcPr>
          <w:p w14:paraId="7456E028">
            <w:pPr>
              <w:jc w:val="center"/>
              <w:rPr>
                <w:rFonts w:ascii="宋体" w:hAnsi="宋体" w:cs="宋体"/>
                <w:sz w:val="22"/>
                <w:szCs w:val="22"/>
              </w:rPr>
            </w:pPr>
            <w:r>
              <w:rPr>
                <w:rFonts w:hint="eastAsia" w:ascii="宋体" w:hAnsi="宋体" w:cs="宋体"/>
                <w:sz w:val="22"/>
                <w:szCs w:val="22"/>
              </w:rPr>
              <w:t>27849</w:t>
            </w:r>
          </w:p>
        </w:tc>
        <w:tc>
          <w:tcPr>
            <w:tcW w:w="1060" w:type="dxa"/>
            <w:tcBorders>
              <w:top w:val="nil"/>
              <w:left w:val="nil"/>
              <w:bottom w:val="single" w:color="auto" w:sz="4" w:space="0"/>
              <w:right w:val="single" w:color="auto" w:sz="4" w:space="0"/>
            </w:tcBorders>
            <w:shd w:val="clear" w:color="auto" w:fill="auto"/>
            <w:vAlign w:val="center"/>
          </w:tcPr>
          <w:p w14:paraId="1CE260B9">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36609472">
            <w:pPr>
              <w:jc w:val="center"/>
              <w:rPr>
                <w:rFonts w:ascii="宋体" w:hAnsi="宋体" w:cs="宋体"/>
                <w:sz w:val="22"/>
                <w:szCs w:val="22"/>
              </w:rPr>
            </w:pPr>
            <w:r>
              <w:rPr>
                <w:rFonts w:hint="eastAsia" w:ascii="宋体" w:hAnsi="宋体" w:cs="宋体"/>
                <w:sz w:val="22"/>
                <w:szCs w:val="22"/>
              </w:rPr>
              <w:t>　</w:t>
            </w:r>
          </w:p>
        </w:tc>
      </w:tr>
      <w:tr w14:paraId="6ED388F9">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64CF6E6">
            <w:pPr>
              <w:jc w:val="center"/>
              <w:rPr>
                <w:rFonts w:ascii="宋体" w:hAnsi="宋体" w:cs="宋体"/>
                <w:sz w:val="22"/>
                <w:szCs w:val="22"/>
              </w:rPr>
            </w:pPr>
            <w:r>
              <w:rPr>
                <w:rFonts w:hint="eastAsia" w:ascii="宋体" w:hAnsi="宋体" w:cs="宋体"/>
                <w:sz w:val="22"/>
                <w:szCs w:val="22"/>
              </w:rPr>
              <w:t>11</w:t>
            </w:r>
          </w:p>
        </w:tc>
        <w:tc>
          <w:tcPr>
            <w:tcW w:w="2551" w:type="dxa"/>
            <w:tcBorders>
              <w:top w:val="nil"/>
              <w:left w:val="nil"/>
              <w:bottom w:val="single" w:color="auto" w:sz="4" w:space="0"/>
              <w:right w:val="single" w:color="auto" w:sz="4" w:space="0"/>
            </w:tcBorders>
            <w:shd w:val="clear" w:color="auto" w:fill="auto"/>
            <w:vAlign w:val="center"/>
          </w:tcPr>
          <w:p w14:paraId="7F4D23B5">
            <w:pPr>
              <w:jc w:val="center"/>
              <w:rPr>
                <w:rFonts w:ascii="宋体" w:hAnsi="宋体" w:cs="宋体"/>
                <w:sz w:val="22"/>
                <w:szCs w:val="22"/>
              </w:rPr>
            </w:pPr>
            <w:r>
              <w:rPr>
                <w:rFonts w:hint="eastAsia" w:ascii="宋体" w:hAnsi="宋体" w:cs="宋体"/>
                <w:sz w:val="22"/>
                <w:szCs w:val="22"/>
              </w:rPr>
              <w:t>消防卷帘</w:t>
            </w:r>
          </w:p>
        </w:tc>
        <w:tc>
          <w:tcPr>
            <w:tcW w:w="1134" w:type="dxa"/>
            <w:tcBorders>
              <w:top w:val="nil"/>
              <w:left w:val="nil"/>
              <w:bottom w:val="single" w:color="auto" w:sz="4" w:space="0"/>
              <w:right w:val="single" w:color="auto" w:sz="4" w:space="0"/>
            </w:tcBorders>
            <w:shd w:val="clear" w:color="auto" w:fill="auto"/>
            <w:vAlign w:val="center"/>
          </w:tcPr>
          <w:p w14:paraId="6264889B">
            <w:pPr>
              <w:jc w:val="center"/>
              <w:rPr>
                <w:rFonts w:ascii="宋体" w:hAnsi="宋体" w:cs="宋体"/>
                <w:sz w:val="22"/>
                <w:szCs w:val="22"/>
              </w:rPr>
            </w:pPr>
            <w:r>
              <w:rPr>
                <w:rFonts w:hint="eastAsia" w:ascii="宋体" w:hAnsi="宋体" w:cs="宋体"/>
                <w:sz w:val="22"/>
                <w:szCs w:val="22"/>
              </w:rPr>
              <w:t>291</w:t>
            </w:r>
          </w:p>
        </w:tc>
        <w:tc>
          <w:tcPr>
            <w:tcW w:w="1060" w:type="dxa"/>
            <w:tcBorders>
              <w:top w:val="nil"/>
              <w:left w:val="nil"/>
              <w:bottom w:val="single" w:color="auto" w:sz="4" w:space="0"/>
              <w:right w:val="single" w:color="auto" w:sz="4" w:space="0"/>
            </w:tcBorders>
            <w:shd w:val="clear" w:color="auto" w:fill="auto"/>
            <w:vAlign w:val="center"/>
          </w:tcPr>
          <w:p w14:paraId="11EC27F1">
            <w:pPr>
              <w:jc w:val="center"/>
              <w:rPr>
                <w:rFonts w:ascii="宋体" w:hAnsi="宋体" w:cs="宋体"/>
                <w:sz w:val="22"/>
                <w:szCs w:val="22"/>
              </w:rPr>
            </w:pPr>
            <w:r>
              <w:rPr>
                <w:rFonts w:hint="eastAsia" w:ascii="宋体" w:hAnsi="宋体" w:cs="宋体"/>
                <w:sz w:val="22"/>
                <w:szCs w:val="22"/>
              </w:rPr>
              <w:t>套</w:t>
            </w:r>
          </w:p>
        </w:tc>
        <w:tc>
          <w:tcPr>
            <w:tcW w:w="2880" w:type="dxa"/>
            <w:tcBorders>
              <w:top w:val="nil"/>
              <w:left w:val="nil"/>
              <w:bottom w:val="single" w:color="auto" w:sz="4" w:space="0"/>
              <w:right w:val="single" w:color="auto" w:sz="4" w:space="0"/>
            </w:tcBorders>
            <w:shd w:val="clear" w:color="auto" w:fill="auto"/>
            <w:vAlign w:val="center"/>
          </w:tcPr>
          <w:p w14:paraId="7B57CD07">
            <w:pPr>
              <w:jc w:val="center"/>
              <w:rPr>
                <w:rFonts w:ascii="宋体" w:hAnsi="宋体" w:cs="宋体"/>
                <w:sz w:val="22"/>
                <w:szCs w:val="22"/>
              </w:rPr>
            </w:pPr>
            <w:r>
              <w:rPr>
                <w:rFonts w:hint="eastAsia" w:ascii="宋体" w:hAnsi="宋体" w:cs="宋体"/>
                <w:sz w:val="22"/>
                <w:szCs w:val="22"/>
              </w:rPr>
              <w:t>　</w:t>
            </w:r>
          </w:p>
        </w:tc>
      </w:tr>
      <w:tr w14:paraId="1A7F4DFC">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C0E41EF">
            <w:pPr>
              <w:jc w:val="center"/>
              <w:rPr>
                <w:rFonts w:ascii="宋体" w:hAnsi="宋体" w:cs="宋体"/>
                <w:sz w:val="22"/>
                <w:szCs w:val="22"/>
              </w:rPr>
            </w:pPr>
            <w:r>
              <w:rPr>
                <w:rFonts w:hint="eastAsia" w:ascii="宋体" w:hAnsi="宋体" w:cs="宋体"/>
                <w:sz w:val="22"/>
                <w:szCs w:val="22"/>
              </w:rPr>
              <w:t>12</w:t>
            </w:r>
          </w:p>
        </w:tc>
        <w:tc>
          <w:tcPr>
            <w:tcW w:w="2551" w:type="dxa"/>
            <w:tcBorders>
              <w:top w:val="nil"/>
              <w:left w:val="nil"/>
              <w:bottom w:val="single" w:color="auto" w:sz="4" w:space="0"/>
              <w:right w:val="single" w:color="auto" w:sz="4" w:space="0"/>
            </w:tcBorders>
            <w:shd w:val="clear" w:color="auto" w:fill="auto"/>
            <w:vAlign w:val="center"/>
          </w:tcPr>
          <w:p w14:paraId="00F2E000">
            <w:pPr>
              <w:jc w:val="center"/>
              <w:rPr>
                <w:rFonts w:ascii="宋体" w:hAnsi="宋体" w:cs="宋体"/>
                <w:sz w:val="22"/>
                <w:szCs w:val="22"/>
              </w:rPr>
            </w:pPr>
            <w:r>
              <w:rPr>
                <w:rFonts w:hint="eastAsia" w:ascii="宋体" w:hAnsi="宋体" w:cs="宋体"/>
                <w:sz w:val="22"/>
                <w:szCs w:val="22"/>
              </w:rPr>
              <w:t>排烟机</w:t>
            </w:r>
          </w:p>
        </w:tc>
        <w:tc>
          <w:tcPr>
            <w:tcW w:w="1134" w:type="dxa"/>
            <w:tcBorders>
              <w:top w:val="nil"/>
              <w:left w:val="nil"/>
              <w:bottom w:val="single" w:color="auto" w:sz="4" w:space="0"/>
              <w:right w:val="single" w:color="auto" w:sz="4" w:space="0"/>
            </w:tcBorders>
            <w:shd w:val="clear" w:color="auto" w:fill="auto"/>
            <w:vAlign w:val="center"/>
          </w:tcPr>
          <w:p w14:paraId="0415F323">
            <w:pPr>
              <w:jc w:val="center"/>
              <w:rPr>
                <w:rFonts w:ascii="宋体" w:hAnsi="宋体" w:cs="宋体"/>
                <w:sz w:val="22"/>
                <w:szCs w:val="22"/>
              </w:rPr>
            </w:pPr>
            <w:r>
              <w:rPr>
                <w:rFonts w:hint="eastAsia" w:ascii="宋体" w:hAnsi="宋体" w:cs="宋体"/>
                <w:sz w:val="22"/>
                <w:szCs w:val="22"/>
              </w:rPr>
              <w:t>76</w:t>
            </w:r>
          </w:p>
        </w:tc>
        <w:tc>
          <w:tcPr>
            <w:tcW w:w="1060" w:type="dxa"/>
            <w:tcBorders>
              <w:top w:val="nil"/>
              <w:left w:val="nil"/>
              <w:bottom w:val="single" w:color="auto" w:sz="4" w:space="0"/>
              <w:right w:val="single" w:color="auto" w:sz="4" w:space="0"/>
            </w:tcBorders>
            <w:shd w:val="clear" w:color="auto" w:fill="auto"/>
            <w:vAlign w:val="center"/>
          </w:tcPr>
          <w:p w14:paraId="6DD4E83E">
            <w:pPr>
              <w:jc w:val="center"/>
              <w:rPr>
                <w:rFonts w:ascii="宋体" w:hAnsi="宋体" w:cs="宋体"/>
                <w:sz w:val="22"/>
                <w:szCs w:val="22"/>
              </w:rPr>
            </w:pPr>
            <w:r>
              <w:rPr>
                <w:rFonts w:hint="eastAsia" w:ascii="宋体" w:hAnsi="宋体" w:cs="宋体"/>
                <w:sz w:val="22"/>
                <w:szCs w:val="22"/>
              </w:rPr>
              <w:t>台</w:t>
            </w:r>
          </w:p>
        </w:tc>
        <w:tc>
          <w:tcPr>
            <w:tcW w:w="2880" w:type="dxa"/>
            <w:tcBorders>
              <w:top w:val="nil"/>
              <w:left w:val="nil"/>
              <w:bottom w:val="single" w:color="auto" w:sz="4" w:space="0"/>
              <w:right w:val="single" w:color="auto" w:sz="4" w:space="0"/>
            </w:tcBorders>
            <w:shd w:val="clear" w:color="auto" w:fill="auto"/>
            <w:vAlign w:val="center"/>
          </w:tcPr>
          <w:p w14:paraId="4D75F72B">
            <w:pPr>
              <w:jc w:val="center"/>
              <w:rPr>
                <w:rFonts w:ascii="宋体" w:hAnsi="宋体" w:cs="宋体"/>
                <w:sz w:val="22"/>
                <w:szCs w:val="22"/>
              </w:rPr>
            </w:pPr>
            <w:r>
              <w:rPr>
                <w:rFonts w:hint="eastAsia" w:ascii="宋体" w:hAnsi="宋体" w:cs="宋体"/>
                <w:sz w:val="22"/>
                <w:szCs w:val="22"/>
              </w:rPr>
              <w:t>　</w:t>
            </w:r>
          </w:p>
        </w:tc>
      </w:tr>
      <w:tr w14:paraId="5DA5DED9">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05D3D95">
            <w:pPr>
              <w:jc w:val="center"/>
              <w:rPr>
                <w:rFonts w:ascii="宋体" w:hAnsi="宋体" w:cs="宋体"/>
                <w:sz w:val="22"/>
                <w:szCs w:val="22"/>
              </w:rPr>
            </w:pPr>
            <w:r>
              <w:rPr>
                <w:rFonts w:hint="eastAsia" w:ascii="宋体" w:hAnsi="宋体" w:cs="宋体"/>
                <w:sz w:val="22"/>
                <w:szCs w:val="22"/>
              </w:rPr>
              <w:t>15</w:t>
            </w:r>
          </w:p>
        </w:tc>
        <w:tc>
          <w:tcPr>
            <w:tcW w:w="2551" w:type="dxa"/>
            <w:tcBorders>
              <w:top w:val="nil"/>
              <w:left w:val="nil"/>
              <w:bottom w:val="single" w:color="auto" w:sz="4" w:space="0"/>
              <w:right w:val="single" w:color="auto" w:sz="4" w:space="0"/>
            </w:tcBorders>
            <w:shd w:val="clear" w:color="auto" w:fill="auto"/>
            <w:vAlign w:val="center"/>
          </w:tcPr>
          <w:p w14:paraId="79B60816">
            <w:pPr>
              <w:jc w:val="center"/>
              <w:rPr>
                <w:rFonts w:ascii="宋体" w:hAnsi="宋体" w:cs="宋体"/>
                <w:sz w:val="22"/>
                <w:szCs w:val="22"/>
              </w:rPr>
            </w:pPr>
            <w:r>
              <w:rPr>
                <w:rFonts w:hint="eastAsia" w:ascii="宋体" w:hAnsi="宋体" w:cs="宋体"/>
                <w:sz w:val="22"/>
                <w:szCs w:val="22"/>
              </w:rPr>
              <w:t>自动气体灭火系统</w:t>
            </w:r>
          </w:p>
        </w:tc>
        <w:tc>
          <w:tcPr>
            <w:tcW w:w="1134" w:type="dxa"/>
            <w:tcBorders>
              <w:top w:val="nil"/>
              <w:left w:val="nil"/>
              <w:bottom w:val="single" w:color="auto" w:sz="4" w:space="0"/>
              <w:right w:val="single" w:color="auto" w:sz="4" w:space="0"/>
            </w:tcBorders>
            <w:shd w:val="clear" w:color="auto" w:fill="auto"/>
            <w:vAlign w:val="center"/>
          </w:tcPr>
          <w:p w14:paraId="5170B00A">
            <w:pPr>
              <w:jc w:val="center"/>
              <w:rPr>
                <w:rFonts w:ascii="宋体" w:hAnsi="宋体" w:cs="宋体"/>
                <w:sz w:val="22"/>
                <w:szCs w:val="22"/>
              </w:rPr>
            </w:pPr>
            <w:r>
              <w:rPr>
                <w:rFonts w:hint="eastAsia" w:ascii="宋体" w:hAnsi="宋体" w:cs="宋体"/>
                <w:sz w:val="22"/>
                <w:szCs w:val="22"/>
              </w:rPr>
              <w:t>12</w:t>
            </w:r>
          </w:p>
        </w:tc>
        <w:tc>
          <w:tcPr>
            <w:tcW w:w="1060" w:type="dxa"/>
            <w:tcBorders>
              <w:top w:val="nil"/>
              <w:left w:val="nil"/>
              <w:bottom w:val="single" w:color="auto" w:sz="4" w:space="0"/>
              <w:right w:val="single" w:color="auto" w:sz="4" w:space="0"/>
            </w:tcBorders>
            <w:shd w:val="clear" w:color="auto" w:fill="auto"/>
            <w:vAlign w:val="center"/>
          </w:tcPr>
          <w:p w14:paraId="647105FB">
            <w:pPr>
              <w:jc w:val="center"/>
              <w:rPr>
                <w:rFonts w:ascii="宋体" w:hAnsi="宋体" w:cs="宋体"/>
                <w:sz w:val="22"/>
                <w:szCs w:val="22"/>
              </w:rPr>
            </w:pPr>
            <w:r>
              <w:rPr>
                <w:rFonts w:hint="eastAsia" w:ascii="宋体" w:hAnsi="宋体" w:cs="宋体"/>
                <w:sz w:val="22"/>
                <w:szCs w:val="22"/>
              </w:rPr>
              <w:t>套</w:t>
            </w:r>
          </w:p>
        </w:tc>
        <w:tc>
          <w:tcPr>
            <w:tcW w:w="2880" w:type="dxa"/>
            <w:tcBorders>
              <w:top w:val="nil"/>
              <w:left w:val="nil"/>
              <w:bottom w:val="single" w:color="auto" w:sz="4" w:space="0"/>
              <w:right w:val="single" w:color="auto" w:sz="4" w:space="0"/>
            </w:tcBorders>
            <w:shd w:val="clear" w:color="auto" w:fill="auto"/>
            <w:vAlign w:val="center"/>
          </w:tcPr>
          <w:p w14:paraId="21CD2440">
            <w:pPr>
              <w:jc w:val="center"/>
              <w:rPr>
                <w:rFonts w:ascii="宋体" w:hAnsi="宋体" w:cs="宋体"/>
                <w:sz w:val="22"/>
                <w:szCs w:val="22"/>
              </w:rPr>
            </w:pPr>
            <w:r>
              <w:rPr>
                <w:rFonts w:hint="eastAsia" w:ascii="宋体" w:hAnsi="宋体" w:cs="宋体"/>
                <w:sz w:val="22"/>
                <w:szCs w:val="22"/>
              </w:rPr>
              <w:t>　</w:t>
            </w:r>
          </w:p>
        </w:tc>
      </w:tr>
      <w:tr w14:paraId="29C61653">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38841D3">
            <w:pPr>
              <w:jc w:val="center"/>
              <w:rPr>
                <w:rFonts w:ascii="宋体" w:hAnsi="宋体" w:cs="宋体"/>
                <w:sz w:val="22"/>
                <w:szCs w:val="22"/>
              </w:rPr>
            </w:pPr>
            <w:r>
              <w:rPr>
                <w:rFonts w:hint="eastAsia" w:ascii="宋体" w:hAnsi="宋体" w:cs="宋体"/>
                <w:sz w:val="22"/>
                <w:szCs w:val="22"/>
              </w:rPr>
              <w:t>16</w:t>
            </w:r>
          </w:p>
        </w:tc>
        <w:tc>
          <w:tcPr>
            <w:tcW w:w="2551" w:type="dxa"/>
            <w:tcBorders>
              <w:top w:val="nil"/>
              <w:left w:val="nil"/>
              <w:bottom w:val="single" w:color="auto" w:sz="4" w:space="0"/>
              <w:right w:val="single" w:color="auto" w:sz="4" w:space="0"/>
            </w:tcBorders>
            <w:shd w:val="clear" w:color="auto" w:fill="auto"/>
            <w:vAlign w:val="center"/>
          </w:tcPr>
          <w:p w14:paraId="1D4EAE96">
            <w:pPr>
              <w:jc w:val="center"/>
              <w:rPr>
                <w:rFonts w:ascii="宋体" w:hAnsi="宋体" w:cs="宋体"/>
                <w:sz w:val="22"/>
                <w:szCs w:val="22"/>
              </w:rPr>
            </w:pPr>
            <w:r>
              <w:rPr>
                <w:rFonts w:hint="eastAsia" w:ascii="宋体" w:hAnsi="宋体" w:cs="宋体"/>
                <w:sz w:val="22"/>
                <w:szCs w:val="22"/>
              </w:rPr>
              <w:t>火灾自动报警系统主机</w:t>
            </w:r>
          </w:p>
        </w:tc>
        <w:tc>
          <w:tcPr>
            <w:tcW w:w="1134" w:type="dxa"/>
            <w:tcBorders>
              <w:top w:val="nil"/>
              <w:left w:val="nil"/>
              <w:bottom w:val="single" w:color="auto" w:sz="4" w:space="0"/>
              <w:right w:val="single" w:color="auto" w:sz="4" w:space="0"/>
            </w:tcBorders>
            <w:shd w:val="clear" w:color="auto" w:fill="auto"/>
            <w:vAlign w:val="center"/>
          </w:tcPr>
          <w:p w14:paraId="6AF1EC9E">
            <w:pPr>
              <w:jc w:val="center"/>
              <w:rPr>
                <w:rFonts w:ascii="宋体" w:hAnsi="宋体" w:cs="宋体"/>
                <w:sz w:val="22"/>
                <w:szCs w:val="22"/>
              </w:rPr>
            </w:pPr>
            <w:r>
              <w:rPr>
                <w:rFonts w:hint="eastAsia" w:ascii="宋体" w:hAnsi="宋体" w:cs="宋体"/>
                <w:sz w:val="22"/>
                <w:szCs w:val="22"/>
              </w:rPr>
              <w:t>10</w:t>
            </w:r>
          </w:p>
        </w:tc>
        <w:tc>
          <w:tcPr>
            <w:tcW w:w="1060" w:type="dxa"/>
            <w:tcBorders>
              <w:top w:val="nil"/>
              <w:left w:val="nil"/>
              <w:bottom w:val="single" w:color="auto" w:sz="4" w:space="0"/>
              <w:right w:val="single" w:color="auto" w:sz="4" w:space="0"/>
            </w:tcBorders>
            <w:shd w:val="clear" w:color="auto" w:fill="auto"/>
            <w:vAlign w:val="center"/>
          </w:tcPr>
          <w:p w14:paraId="5A08D5B5">
            <w:pPr>
              <w:jc w:val="center"/>
              <w:rPr>
                <w:rFonts w:ascii="宋体" w:hAnsi="宋体" w:cs="宋体"/>
                <w:sz w:val="22"/>
                <w:szCs w:val="22"/>
              </w:rPr>
            </w:pPr>
            <w:r>
              <w:rPr>
                <w:rFonts w:hint="eastAsia" w:ascii="宋体" w:hAnsi="宋体" w:cs="宋体"/>
                <w:sz w:val="22"/>
                <w:szCs w:val="22"/>
              </w:rPr>
              <w:t>台</w:t>
            </w:r>
          </w:p>
        </w:tc>
        <w:tc>
          <w:tcPr>
            <w:tcW w:w="2880" w:type="dxa"/>
            <w:tcBorders>
              <w:top w:val="nil"/>
              <w:left w:val="nil"/>
              <w:bottom w:val="single" w:color="auto" w:sz="4" w:space="0"/>
              <w:right w:val="single" w:color="auto" w:sz="4" w:space="0"/>
            </w:tcBorders>
            <w:shd w:val="clear" w:color="auto" w:fill="auto"/>
            <w:vAlign w:val="center"/>
          </w:tcPr>
          <w:p w14:paraId="36A15A09">
            <w:pPr>
              <w:jc w:val="center"/>
              <w:rPr>
                <w:rFonts w:ascii="宋体" w:hAnsi="宋体" w:cs="宋体"/>
                <w:sz w:val="22"/>
                <w:szCs w:val="22"/>
              </w:rPr>
            </w:pPr>
            <w:r>
              <w:rPr>
                <w:rFonts w:hint="eastAsia" w:ascii="宋体" w:hAnsi="宋体" w:cs="宋体"/>
                <w:sz w:val="22"/>
                <w:szCs w:val="22"/>
              </w:rPr>
              <w:t>T5000海湾消防主机</w:t>
            </w:r>
          </w:p>
        </w:tc>
      </w:tr>
      <w:tr w14:paraId="385E42A3">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4469088">
            <w:pPr>
              <w:jc w:val="center"/>
              <w:rPr>
                <w:rFonts w:ascii="宋体" w:hAnsi="宋体" w:cs="宋体"/>
                <w:sz w:val="22"/>
                <w:szCs w:val="22"/>
              </w:rPr>
            </w:pPr>
            <w:r>
              <w:rPr>
                <w:rFonts w:hint="eastAsia" w:ascii="宋体" w:hAnsi="宋体" w:cs="宋体"/>
                <w:sz w:val="22"/>
                <w:szCs w:val="22"/>
              </w:rPr>
              <w:t>17</w:t>
            </w:r>
          </w:p>
        </w:tc>
        <w:tc>
          <w:tcPr>
            <w:tcW w:w="2551" w:type="dxa"/>
            <w:tcBorders>
              <w:top w:val="nil"/>
              <w:left w:val="nil"/>
              <w:bottom w:val="single" w:color="auto" w:sz="4" w:space="0"/>
              <w:right w:val="single" w:color="auto" w:sz="4" w:space="0"/>
            </w:tcBorders>
            <w:shd w:val="clear" w:color="auto" w:fill="auto"/>
            <w:vAlign w:val="center"/>
          </w:tcPr>
          <w:p w14:paraId="383ED3B6">
            <w:pPr>
              <w:jc w:val="center"/>
              <w:rPr>
                <w:rFonts w:ascii="宋体" w:hAnsi="宋体" w:cs="宋体"/>
                <w:sz w:val="22"/>
                <w:szCs w:val="22"/>
              </w:rPr>
            </w:pPr>
            <w:r>
              <w:rPr>
                <w:rFonts w:hint="eastAsia" w:ascii="宋体" w:hAnsi="宋体" w:cs="宋体"/>
                <w:sz w:val="22"/>
                <w:szCs w:val="22"/>
              </w:rPr>
              <w:t>消防广播主机</w:t>
            </w:r>
          </w:p>
        </w:tc>
        <w:tc>
          <w:tcPr>
            <w:tcW w:w="1134" w:type="dxa"/>
            <w:tcBorders>
              <w:top w:val="nil"/>
              <w:left w:val="nil"/>
              <w:bottom w:val="single" w:color="auto" w:sz="4" w:space="0"/>
              <w:right w:val="single" w:color="auto" w:sz="4" w:space="0"/>
            </w:tcBorders>
            <w:shd w:val="clear" w:color="auto" w:fill="auto"/>
            <w:vAlign w:val="center"/>
          </w:tcPr>
          <w:p w14:paraId="4C901DF0">
            <w:pPr>
              <w:jc w:val="center"/>
              <w:rPr>
                <w:rFonts w:ascii="宋体" w:hAnsi="宋体" w:cs="宋体"/>
                <w:sz w:val="22"/>
                <w:szCs w:val="22"/>
              </w:rPr>
            </w:pPr>
            <w:r>
              <w:rPr>
                <w:rFonts w:hint="eastAsia" w:ascii="宋体" w:hAnsi="宋体" w:cs="宋体"/>
                <w:sz w:val="22"/>
                <w:szCs w:val="22"/>
              </w:rPr>
              <w:t>4</w:t>
            </w:r>
          </w:p>
        </w:tc>
        <w:tc>
          <w:tcPr>
            <w:tcW w:w="1060" w:type="dxa"/>
            <w:tcBorders>
              <w:top w:val="nil"/>
              <w:left w:val="nil"/>
              <w:bottom w:val="single" w:color="auto" w:sz="4" w:space="0"/>
              <w:right w:val="single" w:color="auto" w:sz="4" w:space="0"/>
            </w:tcBorders>
            <w:shd w:val="clear" w:color="auto" w:fill="auto"/>
            <w:vAlign w:val="center"/>
          </w:tcPr>
          <w:p w14:paraId="4E1B7312">
            <w:pPr>
              <w:jc w:val="center"/>
              <w:rPr>
                <w:rFonts w:ascii="宋体" w:hAnsi="宋体" w:cs="宋体"/>
                <w:sz w:val="22"/>
                <w:szCs w:val="22"/>
              </w:rPr>
            </w:pPr>
            <w:r>
              <w:rPr>
                <w:rFonts w:hint="eastAsia" w:ascii="宋体" w:hAnsi="宋体" w:cs="宋体"/>
                <w:sz w:val="22"/>
                <w:szCs w:val="22"/>
              </w:rPr>
              <w:t>台</w:t>
            </w:r>
          </w:p>
        </w:tc>
        <w:tc>
          <w:tcPr>
            <w:tcW w:w="2880" w:type="dxa"/>
            <w:tcBorders>
              <w:top w:val="nil"/>
              <w:left w:val="nil"/>
              <w:bottom w:val="single" w:color="auto" w:sz="4" w:space="0"/>
              <w:right w:val="single" w:color="auto" w:sz="4" w:space="0"/>
            </w:tcBorders>
            <w:shd w:val="clear" w:color="auto" w:fill="auto"/>
            <w:vAlign w:val="center"/>
          </w:tcPr>
          <w:p w14:paraId="538392A1">
            <w:pPr>
              <w:jc w:val="center"/>
              <w:rPr>
                <w:rFonts w:ascii="宋体" w:hAnsi="宋体" w:cs="宋体"/>
                <w:sz w:val="22"/>
                <w:szCs w:val="22"/>
              </w:rPr>
            </w:pPr>
            <w:r>
              <w:rPr>
                <w:rFonts w:hint="eastAsia" w:ascii="宋体" w:hAnsi="宋体" w:cs="宋体"/>
                <w:sz w:val="22"/>
                <w:szCs w:val="22"/>
              </w:rPr>
              <w:t>　</w:t>
            </w:r>
          </w:p>
        </w:tc>
      </w:tr>
      <w:tr w14:paraId="355958E5">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20D5F53">
            <w:pPr>
              <w:jc w:val="center"/>
              <w:rPr>
                <w:rFonts w:ascii="宋体" w:hAnsi="宋体" w:cs="宋体"/>
                <w:sz w:val="22"/>
                <w:szCs w:val="22"/>
              </w:rPr>
            </w:pPr>
            <w:r>
              <w:rPr>
                <w:rFonts w:hint="eastAsia" w:ascii="宋体" w:hAnsi="宋体" w:cs="宋体"/>
                <w:sz w:val="22"/>
                <w:szCs w:val="22"/>
              </w:rPr>
              <w:t>18</w:t>
            </w:r>
          </w:p>
        </w:tc>
        <w:tc>
          <w:tcPr>
            <w:tcW w:w="2551" w:type="dxa"/>
            <w:tcBorders>
              <w:top w:val="nil"/>
              <w:left w:val="nil"/>
              <w:bottom w:val="single" w:color="auto" w:sz="4" w:space="0"/>
              <w:right w:val="single" w:color="auto" w:sz="4" w:space="0"/>
            </w:tcBorders>
            <w:shd w:val="clear" w:color="auto" w:fill="auto"/>
            <w:vAlign w:val="center"/>
          </w:tcPr>
          <w:p w14:paraId="151A43BD">
            <w:pPr>
              <w:jc w:val="center"/>
              <w:rPr>
                <w:rFonts w:ascii="宋体" w:hAnsi="宋体" w:cs="宋体"/>
                <w:sz w:val="22"/>
                <w:szCs w:val="22"/>
              </w:rPr>
            </w:pPr>
            <w:r>
              <w:rPr>
                <w:rFonts w:hint="eastAsia" w:ascii="宋体" w:hAnsi="宋体" w:cs="宋体"/>
                <w:sz w:val="22"/>
                <w:szCs w:val="22"/>
              </w:rPr>
              <w:t>消防水泵</w:t>
            </w:r>
          </w:p>
        </w:tc>
        <w:tc>
          <w:tcPr>
            <w:tcW w:w="1134" w:type="dxa"/>
            <w:tcBorders>
              <w:top w:val="nil"/>
              <w:left w:val="nil"/>
              <w:bottom w:val="single" w:color="auto" w:sz="4" w:space="0"/>
              <w:right w:val="single" w:color="auto" w:sz="4" w:space="0"/>
            </w:tcBorders>
            <w:shd w:val="clear" w:color="auto" w:fill="auto"/>
            <w:vAlign w:val="center"/>
          </w:tcPr>
          <w:p w14:paraId="1CCCBFD1">
            <w:pPr>
              <w:jc w:val="center"/>
              <w:rPr>
                <w:rFonts w:ascii="宋体" w:hAnsi="宋体" w:cs="宋体"/>
                <w:sz w:val="22"/>
                <w:szCs w:val="22"/>
              </w:rPr>
            </w:pPr>
            <w:r>
              <w:rPr>
                <w:rFonts w:hint="eastAsia" w:ascii="宋体" w:hAnsi="宋体" w:cs="宋体"/>
                <w:sz w:val="22"/>
                <w:szCs w:val="22"/>
              </w:rPr>
              <w:t>6</w:t>
            </w:r>
          </w:p>
        </w:tc>
        <w:tc>
          <w:tcPr>
            <w:tcW w:w="1060" w:type="dxa"/>
            <w:tcBorders>
              <w:top w:val="nil"/>
              <w:left w:val="nil"/>
              <w:bottom w:val="single" w:color="auto" w:sz="4" w:space="0"/>
              <w:right w:val="single" w:color="auto" w:sz="4" w:space="0"/>
            </w:tcBorders>
            <w:shd w:val="clear" w:color="auto" w:fill="auto"/>
            <w:vAlign w:val="center"/>
          </w:tcPr>
          <w:p w14:paraId="44C0926F">
            <w:pPr>
              <w:jc w:val="center"/>
              <w:rPr>
                <w:rFonts w:ascii="宋体" w:hAnsi="宋体" w:cs="宋体"/>
                <w:sz w:val="22"/>
                <w:szCs w:val="22"/>
              </w:rPr>
            </w:pPr>
            <w:r>
              <w:rPr>
                <w:rFonts w:hint="eastAsia" w:ascii="宋体" w:hAnsi="宋体" w:cs="宋体"/>
                <w:sz w:val="22"/>
                <w:szCs w:val="22"/>
              </w:rPr>
              <w:t>台</w:t>
            </w:r>
          </w:p>
        </w:tc>
        <w:tc>
          <w:tcPr>
            <w:tcW w:w="2880" w:type="dxa"/>
            <w:tcBorders>
              <w:top w:val="nil"/>
              <w:left w:val="nil"/>
              <w:bottom w:val="single" w:color="auto" w:sz="4" w:space="0"/>
              <w:right w:val="single" w:color="auto" w:sz="4" w:space="0"/>
            </w:tcBorders>
            <w:shd w:val="clear" w:color="auto" w:fill="auto"/>
            <w:vAlign w:val="center"/>
          </w:tcPr>
          <w:p w14:paraId="0E59034C">
            <w:pPr>
              <w:jc w:val="center"/>
              <w:rPr>
                <w:rFonts w:ascii="宋体" w:hAnsi="宋体" w:cs="宋体"/>
                <w:sz w:val="22"/>
                <w:szCs w:val="22"/>
              </w:rPr>
            </w:pPr>
            <w:r>
              <w:rPr>
                <w:rFonts w:hint="eastAsia" w:ascii="宋体" w:hAnsi="宋体" w:cs="宋体"/>
                <w:sz w:val="22"/>
                <w:szCs w:val="22"/>
              </w:rPr>
              <w:t>两台稳压泵，四台加压泵</w:t>
            </w:r>
          </w:p>
        </w:tc>
      </w:tr>
      <w:tr w14:paraId="0BD98841">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0490478">
            <w:pPr>
              <w:jc w:val="center"/>
              <w:rPr>
                <w:rFonts w:ascii="宋体" w:hAnsi="宋体" w:cs="宋体"/>
                <w:sz w:val="22"/>
                <w:szCs w:val="22"/>
              </w:rPr>
            </w:pPr>
            <w:r>
              <w:rPr>
                <w:rFonts w:hint="eastAsia" w:ascii="宋体" w:hAnsi="宋体" w:cs="宋体"/>
                <w:sz w:val="22"/>
                <w:szCs w:val="22"/>
              </w:rPr>
              <w:t>19</w:t>
            </w:r>
          </w:p>
        </w:tc>
        <w:tc>
          <w:tcPr>
            <w:tcW w:w="2551" w:type="dxa"/>
            <w:tcBorders>
              <w:top w:val="nil"/>
              <w:left w:val="nil"/>
              <w:bottom w:val="single" w:color="auto" w:sz="4" w:space="0"/>
              <w:right w:val="single" w:color="auto" w:sz="4" w:space="0"/>
            </w:tcBorders>
            <w:shd w:val="clear" w:color="auto" w:fill="auto"/>
            <w:vAlign w:val="center"/>
          </w:tcPr>
          <w:p w14:paraId="1FE77102">
            <w:pPr>
              <w:jc w:val="center"/>
              <w:rPr>
                <w:rFonts w:ascii="宋体" w:hAnsi="宋体" w:cs="宋体"/>
                <w:sz w:val="22"/>
                <w:szCs w:val="22"/>
              </w:rPr>
            </w:pPr>
            <w:r>
              <w:rPr>
                <w:rFonts w:hint="eastAsia" w:ascii="宋体" w:hAnsi="宋体" w:cs="宋体"/>
                <w:sz w:val="22"/>
                <w:szCs w:val="22"/>
              </w:rPr>
              <w:t>室外消火栓</w:t>
            </w:r>
          </w:p>
        </w:tc>
        <w:tc>
          <w:tcPr>
            <w:tcW w:w="1134" w:type="dxa"/>
            <w:tcBorders>
              <w:top w:val="nil"/>
              <w:left w:val="nil"/>
              <w:bottom w:val="single" w:color="auto" w:sz="4" w:space="0"/>
              <w:right w:val="single" w:color="auto" w:sz="4" w:space="0"/>
            </w:tcBorders>
            <w:shd w:val="clear" w:color="auto" w:fill="auto"/>
            <w:vAlign w:val="center"/>
          </w:tcPr>
          <w:p w14:paraId="29696D93">
            <w:pPr>
              <w:jc w:val="center"/>
              <w:rPr>
                <w:rFonts w:ascii="宋体" w:hAnsi="宋体" w:cs="宋体"/>
                <w:sz w:val="22"/>
                <w:szCs w:val="22"/>
              </w:rPr>
            </w:pPr>
            <w:r>
              <w:rPr>
                <w:rFonts w:hint="eastAsia" w:ascii="宋体" w:hAnsi="宋体" w:cs="宋体"/>
                <w:sz w:val="22"/>
                <w:szCs w:val="22"/>
              </w:rPr>
              <w:t>13</w:t>
            </w:r>
          </w:p>
        </w:tc>
        <w:tc>
          <w:tcPr>
            <w:tcW w:w="1060" w:type="dxa"/>
            <w:tcBorders>
              <w:top w:val="nil"/>
              <w:left w:val="nil"/>
              <w:bottom w:val="single" w:color="auto" w:sz="4" w:space="0"/>
              <w:right w:val="single" w:color="auto" w:sz="4" w:space="0"/>
            </w:tcBorders>
            <w:shd w:val="clear" w:color="auto" w:fill="auto"/>
            <w:vAlign w:val="center"/>
          </w:tcPr>
          <w:p w14:paraId="4029F47E">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22B82F7">
            <w:pPr>
              <w:jc w:val="center"/>
              <w:rPr>
                <w:rFonts w:ascii="宋体" w:hAnsi="宋体" w:cs="宋体"/>
                <w:sz w:val="22"/>
                <w:szCs w:val="22"/>
              </w:rPr>
            </w:pPr>
            <w:r>
              <w:rPr>
                <w:rFonts w:hint="eastAsia" w:ascii="宋体" w:hAnsi="宋体" w:cs="宋体"/>
                <w:sz w:val="22"/>
                <w:szCs w:val="22"/>
              </w:rPr>
              <w:t>　</w:t>
            </w:r>
          </w:p>
        </w:tc>
      </w:tr>
      <w:tr w14:paraId="1568FEA9">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2BD0FFA">
            <w:pPr>
              <w:jc w:val="center"/>
              <w:rPr>
                <w:rFonts w:ascii="宋体" w:hAnsi="宋体" w:cs="宋体"/>
                <w:sz w:val="22"/>
                <w:szCs w:val="22"/>
              </w:rPr>
            </w:pPr>
            <w:r>
              <w:rPr>
                <w:rFonts w:hint="eastAsia" w:ascii="宋体" w:hAnsi="宋体" w:cs="宋体"/>
                <w:sz w:val="22"/>
                <w:szCs w:val="22"/>
              </w:rPr>
              <w:t>20</w:t>
            </w:r>
          </w:p>
        </w:tc>
        <w:tc>
          <w:tcPr>
            <w:tcW w:w="2551" w:type="dxa"/>
            <w:tcBorders>
              <w:top w:val="nil"/>
              <w:left w:val="nil"/>
              <w:bottom w:val="single" w:color="auto" w:sz="4" w:space="0"/>
              <w:right w:val="single" w:color="auto" w:sz="4" w:space="0"/>
            </w:tcBorders>
            <w:shd w:val="clear" w:color="auto" w:fill="auto"/>
            <w:vAlign w:val="center"/>
          </w:tcPr>
          <w:p w14:paraId="43520BB9">
            <w:pPr>
              <w:jc w:val="center"/>
              <w:rPr>
                <w:rFonts w:ascii="宋体" w:hAnsi="宋体" w:cs="宋体"/>
                <w:sz w:val="22"/>
                <w:szCs w:val="22"/>
              </w:rPr>
            </w:pPr>
            <w:r>
              <w:rPr>
                <w:rFonts w:hint="eastAsia" w:ascii="宋体" w:hAnsi="宋体" w:cs="宋体"/>
                <w:sz w:val="22"/>
                <w:szCs w:val="22"/>
              </w:rPr>
              <w:t>喷淋水泵</w:t>
            </w:r>
          </w:p>
        </w:tc>
        <w:tc>
          <w:tcPr>
            <w:tcW w:w="1134" w:type="dxa"/>
            <w:tcBorders>
              <w:top w:val="nil"/>
              <w:left w:val="nil"/>
              <w:bottom w:val="single" w:color="auto" w:sz="4" w:space="0"/>
              <w:right w:val="single" w:color="auto" w:sz="4" w:space="0"/>
            </w:tcBorders>
            <w:shd w:val="clear" w:color="auto" w:fill="auto"/>
            <w:vAlign w:val="center"/>
          </w:tcPr>
          <w:p w14:paraId="4C0CE642">
            <w:pPr>
              <w:jc w:val="center"/>
              <w:rPr>
                <w:rFonts w:ascii="宋体" w:hAnsi="宋体" w:cs="宋体"/>
                <w:sz w:val="22"/>
                <w:szCs w:val="22"/>
              </w:rPr>
            </w:pPr>
            <w:r>
              <w:rPr>
                <w:rFonts w:hint="eastAsia" w:ascii="宋体" w:hAnsi="宋体" w:cs="宋体"/>
                <w:sz w:val="22"/>
                <w:szCs w:val="22"/>
              </w:rPr>
              <w:t>6</w:t>
            </w:r>
          </w:p>
        </w:tc>
        <w:tc>
          <w:tcPr>
            <w:tcW w:w="1060" w:type="dxa"/>
            <w:tcBorders>
              <w:top w:val="nil"/>
              <w:left w:val="nil"/>
              <w:bottom w:val="single" w:color="auto" w:sz="4" w:space="0"/>
              <w:right w:val="single" w:color="auto" w:sz="4" w:space="0"/>
            </w:tcBorders>
            <w:shd w:val="clear" w:color="auto" w:fill="auto"/>
            <w:vAlign w:val="center"/>
          </w:tcPr>
          <w:p w14:paraId="32763E47">
            <w:pPr>
              <w:jc w:val="center"/>
              <w:rPr>
                <w:rFonts w:ascii="宋体" w:hAnsi="宋体" w:cs="宋体"/>
                <w:sz w:val="22"/>
                <w:szCs w:val="22"/>
              </w:rPr>
            </w:pPr>
            <w:r>
              <w:rPr>
                <w:rFonts w:hint="eastAsia" w:ascii="宋体" w:hAnsi="宋体" w:cs="宋体"/>
                <w:sz w:val="22"/>
                <w:szCs w:val="22"/>
              </w:rPr>
              <w:t>台</w:t>
            </w:r>
          </w:p>
        </w:tc>
        <w:tc>
          <w:tcPr>
            <w:tcW w:w="2880" w:type="dxa"/>
            <w:tcBorders>
              <w:top w:val="nil"/>
              <w:left w:val="nil"/>
              <w:bottom w:val="single" w:color="auto" w:sz="4" w:space="0"/>
              <w:right w:val="single" w:color="auto" w:sz="4" w:space="0"/>
            </w:tcBorders>
            <w:shd w:val="clear" w:color="auto" w:fill="auto"/>
            <w:vAlign w:val="center"/>
          </w:tcPr>
          <w:p w14:paraId="5100B25F">
            <w:pPr>
              <w:jc w:val="center"/>
              <w:rPr>
                <w:rFonts w:ascii="宋体" w:hAnsi="宋体" w:cs="宋体"/>
                <w:sz w:val="22"/>
                <w:szCs w:val="22"/>
              </w:rPr>
            </w:pPr>
            <w:r>
              <w:rPr>
                <w:rFonts w:hint="eastAsia" w:ascii="宋体" w:hAnsi="宋体" w:cs="宋体"/>
                <w:sz w:val="22"/>
                <w:szCs w:val="22"/>
              </w:rPr>
              <w:t>两台稳压泵，四台加压泵</w:t>
            </w:r>
          </w:p>
        </w:tc>
      </w:tr>
      <w:tr w14:paraId="44CB7004">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7DD741E">
            <w:pPr>
              <w:jc w:val="center"/>
              <w:rPr>
                <w:rFonts w:ascii="宋体" w:hAnsi="宋体" w:cs="宋体"/>
                <w:sz w:val="22"/>
                <w:szCs w:val="22"/>
              </w:rPr>
            </w:pPr>
            <w:r>
              <w:rPr>
                <w:rFonts w:hint="eastAsia" w:ascii="宋体" w:hAnsi="宋体" w:cs="宋体"/>
                <w:sz w:val="22"/>
                <w:szCs w:val="22"/>
              </w:rPr>
              <w:t>21</w:t>
            </w:r>
          </w:p>
        </w:tc>
        <w:tc>
          <w:tcPr>
            <w:tcW w:w="2551" w:type="dxa"/>
            <w:tcBorders>
              <w:top w:val="nil"/>
              <w:left w:val="nil"/>
              <w:bottom w:val="single" w:color="auto" w:sz="4" w:space="0"/>
              <w:right w:val="single" w:color="auto" w:sz="4" w:space="0"/>
            </w:tcBorders>
            <w:shd w:val="clear" w:color="auto" w:fill="auto"/>
            <w:vAlign w:val="center"/>
          </w:tcPr>
          <w:p w14:paraId="34F5599A">
            <w:pPr>
              <w:jc w:val="center"/>
              <w:rPr>
                <w:rFonts w:ascii="宋体" w:hAnsi="宋体" w:cs="宋体"/>
                <w:sz w:val="22"/>
                <w:szCs w:val="22"/>
              </w:rPr>
            </w:pPr>
            <w:r>
              <w:rPr>
                <w:rFonts w:hint="eastAsia" w:ascii="宋体" w:hAnsi="宋体" w:cs="宋体"/>
                <w:sz w:val="22"/>
                <w:szCs w:val="22"/>
              </w:rPr>
              <w:t>水流指示器</w:t>
            </w:r>
          </w:p>
        </w:tc>
        <w:tc>
          <w:tcPr>
            <w:tcW w:w="1134" w:type="dxa"/>
            <w:tcBorders>
              <w:top w:val="nil"/>
              <w:left w:val="nil"/>
              <w:bottom w:val="single" w:color="auto" w:sz="4" w:space="0"/>
              <w:right w:val="single" w:color="auto" w:sz="4" w:space="0"/>
            </w:tcBorders>
            <w:shd w:val="clear" w:color="auto" w:fill="auto"/>
            <w:vAlign w:val="center"/>
          </w:tcPr>
          <w:p w14:paraId="50383723">
            <w:pPr>
              <w:jc w:val="center"/>
              <w:rPr>
                <w:rFonts w:ascii="宋体" w:hAnsi="宋体" w:cs="宋体"/>
                <w:sz w:val="22"/>
                <w:szCs w:val="22"/>
              </w:rPr>
            </w:pPr>
            <w:r>
              <w:rPr>
                <w:rFonts w:hint="eastAsia" w:ascii="宋体" w:hAnsi="宋体" w:cs="宋体"/>
                <w:sz w:val="22"/>
                <w:szCs w:val="22"/>
              </w:rPr>
              <w:t>87</w:t>
            </w:r>
          </w:p>
        </w:tc>
        <w:tc>
          <w:tcPr>
            <w:tcW w:w="1060" w:type="dxa"/>
            <w:tcBorders>
              <w:top w:val="nil"/>
              <w:left w:val="nil"/>
              <w:bottom w:val="single" w:color="auto" w:sz="4" w:space="0"/>
              <w:right w:val="single" w:color="auto" w:sz="4" w:space="0"/>
            </w:tcBorders>
            <w:shd w:val="clear" w:color="auto" w:fill="auto"/>
            <w:vAlign w:val="center"/>
          </w:tcPr>
          <w:p w14:paraId="416495FC">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7EFB2178">
            <w:pPr>
              <w:jc w:val="center"/>
              <w:rPr>
                <w:rFonts w:ascii="宋体" w:hAnsi="宋体" w:cs="宋体"/>
                <w:sz w:val="22"/>
                <w:szCs w:val="22"/>
              </w:rPr>
            </w:pPr>
            <w:r>
              <w:rPr>
                <w:rFonts w:hint="eastAsia" w:ascii="宋体" w:hAnsi="宋体" w:cs="宋体"/>
                <w:sz w:val="22"/>
                <w:szCs w:val="22"/>
              </w:rPr>
              <w:t>　</w:t>
            </w:r>
          </w:p>
        </w:tc>
      </w:tr>
      <w:tr w14:paraId="662EF11C">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E5F6CF5">
            <w:pPr>
              <w:jc w:val="center"/>
              <w:rPr>
                <w:rFonts w:ascii="宋体" w:hAnsi="宋体" w:cs="宋体"/>
                <w:sz w:val="22"/>
                <w:szCs w:val="22"/>
              </w:rPr>
            </w:pPr>
            <w:r>
              <w:rPr>
                <w:rFonts w:hint="eastAsia" w:ascii="宋体" w:hAnsi="宋体" w:cs="宋体"/>
                <w:sz w:val="22"/>
                <w:szCs w:val="22"/>
              </w:rPr>
              <w:t>22</w:t>
            </w:r>
          </w:p>
        </w:tc>
        <w:tc>
          <w:tcPr>
            <w:tcW w:w="2551" w:type="dxa"/>
            <w:tcBorders>
              <w:top w:val="nil"/>
              <w:left w:val="nil"/>
              <w:bottom w:val="single" w:color="auto" w:sz="4" w:space="0"/>
              <w:right w:val="single" w:color="auto" w:sz="4" w:space="0"/>
            </w:tcBorders>
            <w:shd w:val="clear" w:color="auto" w:fill="auto"/>
            <w:vAlign w:val="center"/>
          </w:tcPr>
          <w:p w14:paraId="0295CC69">
            <w:pPr>
              <w:jc w:val="center"/>
              <w:rPr>
                <w:rFonts w:ascii="宋体" w:hAnsi="宋体" w:cs="宋体"/>
                <w:sz w:val="22"/>
                <w:szCs w:val="22"/>
              </w:rPr>
            </w:pPr>
            <w:r>
              <w:rPr>
                <w:rFonts w:hint="eastAsia" w:ascii="宋体" w:hAnsi="宋体" w:cs="宋体"/>
                <w:sz w:val="22"/>
                <w:szCs w:val="22"/>
              </w:rPr>
              <w:t>湿式报警阀</w:t>
            </w:r>
          </w:p>
        </w:tc>
        <w:tc>
          <w:tcPr>
            <w:tcW w:w="1134" w:type="dxa"/>
            <w:tcBorders>
              <w:top w:val="nil"/>
              <w:left w:val="nil"/>
              <w:bottom w:val="single" w:color="auto" w:sz="4" w:space="0"/>
              <w:right w:val="single" w:color="auto" w:sz="4" w:space="0"/>
            </w:tcBorders>
            <w:shd w:val="clear" w:color="auto" w:fill="auto"/>
            <w:vAlign w:val="center"/>
          </w:tcPr>
          <w:p w14:paraId="3AEAE389">
            <w:pPr>
              <w:jc w:val="center"/>
              <w:rPr>
                <w:rFonts w:ascii="宋体" w:hAnsi="宋体" w:cs="宋体"/>
                <w:sz w:val="22"/>
                <w:szCs w:val="22"/>
              </w:rPr>
            </w:pPr>
            <w:r>
              <w:rPr>
                <w:rFonts w:hint="eastAsia" w:ascii="宋体" w:hAnsi="宋体" w:cs="宋体"/>
                <w:sz w:val="22"/>
                <w:szCs w:val="22"/>
              </w:rPr>
              <w:t>25</w:t>
            </w:r>
          </w:p>
        </w:tc>
        <w:tc>
          <w:tcPr>
            <w:tcW w:w="1060" w:type="dxa"/>
            <w:tcBorders>
              <w:top w:val="nil"/>
              <w:left w:val="nil"/>
              <w:bottom w:val="single" w:color="auto" w:sz="4" w:space="0"/>
              <w:right w:val="single" w:color="auto" w:sz="4" w:space="0"/>
            </w:tcBorders>
            <w:shd w:val="clear" w:color="auto" w:fill="auto"/>
            <w:vAlign w:val="center"/>
          </w:tcPr>
          <w:p w14:paraId="59217D70">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272DBC8">
            <w:pPr>
              <w:jc w:val="center"/>
              <w:rPr>
                <w:rFonts w:ascii="宋体" w:hAnsi="宋体" w:cs="宋体"/>
                <w:sz w:val="22"/>
                <w:szCs w:val="22"/>
              </w:rPr>
            </w:pPr>
            <w:r>
              <w:rPr>
                <w:rFonts w:hint="eastAsia" w:ascii="宋体" w:hAnsi="宋体" w:cs="宋体"/>
                <w:sz w:val="22"/>
                <w:szCs w:val="22"/>
              </w:rPr>
              <w:t>　</w:t>
            </w:r>
          </w:p>
        </w:tc>
      </w:tr>
      <w:tr w14:paraId="1927119A">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2C5D14C">
            <w:pPr>
              <w:jc w:val="center"/>
              <w:rPr>
                <w:rFonts w:ascii="宋体" w:hAnsi="宋体" w:cs="宋体"/>
                <w:sz w:val="22"/>
                <w:szCs w:val="22"/>
              </w:rPr>
            </w:pPr>
            <w:r>
              <w:rPr>
                <w:rFonts w:hint="eastAsia" w:ascii="宋体" w:hAnsi="宋体" w:cs="宋体"/>
                <w:sz w:val="22"/>
                <w:szCs w:val="22"/>
              </w:rPr>
              <w:t>23</w:t>
            </w:r>
          </w:p>
        </w:tc>
        <w:tc>
          <w:tcPr>
            <w:tcW w:w="2551" w:type="dxa"/>
            <w:tcBorders>
              <w:top w:val="nil"/>
              <w:left w:val="nil"/>
              <w:bottom w:val="single" w:color="auto" w:sz="4" w:space="0"/>
              <w:right w:val="single" w:color="auto" w:sz="4" w:space="0"/>
            </w:tcBorders>
            <w:shd w:val="clear" w:color="auto" w:fill="auto"/>
            <w:vAlign w:val="center"/>
          </w:tcPr>
          <w:p w14:paraId="3E5B468D">
            <w:pPr>
              <w:jc w:val="center"/>
              <w:rPr>
                <w:rFonts w:ascii="宋体" w:hAnsi="宋体" w:cs="宋体"/>
                <w:sz w:val="22"/>
                <w:szCs w:val="22"/>
              </w:rPr>
            </w:pPr>
            <w:r>
              <w:rPr>
                <w:rFonts w:hint="eastAsia" w:ascii="宋体" w:hAnsi="宋体" w:cs="宋体"/>
                <w:sz w:val="22"/>
                <w:szCs w:val="22"/>
              </w:rPr>
              <w:t>水力警铃</w:t>
            </w:r>
          </w:p>
        </w:tc>
        <w:tc>
          <w:tcPr>
            <w:tcW w:w="1134" w:type="dxa"/>
            <w:tcBorders>
              <w:top w:val="nil"/>
              <w:left w:val="nil"/>
              <w:bottom w:val="single" w:color="auto" w:sz="4" w:space="0"/>
              <w:right w:val="single" w:color="auto" w:sz="4" w:space="0"/>
            </w:tcBorders>
            <w:shd w:val="clear" w:color="auto" w:fill="auto"/>
            <w:vAlign w:val="center"/>
          </w:tcPr>
          <w:p w14:paraId="2B9A043A">
            <w:pPr>
              <w:jc w:val="center"/>
              <w:rPr>
                <w:rFonts w:ascii="宋体" w:hAnsi="宋体" w:cs="宋体"/>
                <w:sz w:val="22"/>
                <w:szCs w:val="22"/>
              </w:rPr>
            </w:pPr>
            <w:r>
              <w:rPr>
                <w:rFonts w:hint="eastAsia" w:ascii="宋体" w:hAnsi="宋体" w:cs="宋体"/>
                <w:sz w:val="22"/>
                <w:szCs w:val="22"/>
              </w:rPr>
              <w:t>25</w:t>
            </w:r>
          </w:p>
        </w:tc>
        <w:tc>
          <w:tcPr>
            <w:tcW w:w="1060" w:type="dxa"/>
            <w:tcBorders>
              <w:top w:val="nil"/>
              <w:left w:val="nil"/>
              <w:bottom w:val="single" w:color="auto" w:sz="4" w:space="0"/>
              <w:right w:val="single" w:color="auto" w:sz="4" w:space="0"/>
            </w:tcBorders>
            <w:shd w:val="clear" w:color="auto" w:fill="auto"/>
            <w:vAlign w:val="center"/>
          </w:tcPr>
          <w:p w14:paraId="5F51DECF">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623DAC9C">
            <w:pPr>
              <w:jc w:val="center"/>
              <w:rPr>
                <w:rFonts w:ascii="宋体" w:hAnsi="宋体" w:cs="宋体"/>
                <w:sz w:val="22"/>
                <w:szCs w:val="22"/>
              </w:rPr>
            </w:pPr>
            <w:r>
              <w:rPr>
                <w:rFonts w:hint="eastAsia" w:ascii="宋体" w:hAnsi="宋体" w:cs="宋体"/>
                <w:sz w:val="22"/>
                <w:szCs w:val="22"/>
              </w:rPr>
              <w:t>　</w:t>
            </w:r>
          </w:p>
        </w:tc>
      </w:tr>
      <w:tr w14:paraId="6A9D5890">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25277A7">
            <w:pPr>
              <w:jc w:val="center"/>
              <w:rPr>
                <w:rFonts w:ascii="宋体" w:hAnsi="宋体" w:cs="宋体"/>
                <w:sz w:val="22"/>
                <w:szCs w:val="22"/>
              </w:rPr>
            </w:pPr>
            <w:r>
              <w:rPr>
                <w:rFonts w:hint="eastAsia" w:ascii="宋体" w:hAnsi="宋体" w:cs="宋体"/>
                <w:sz w:val="22"/>
                <w:szCs w:val="22"/>
              </w:rPr>
              <w:t>25</w:t>
            </w:r>
          </w:p>
        </w:tc>
        <w:tc>
          <w:tcPr>
            <w:tcW w:w="2551" w:type="dxa"/>
            <w:tcBorders>
              <w:top w:val="nil"/>
              <w:left w:val="nil"/>
              <w:bottom w:val="single" w:color="auto" w:sz="4" w:space="0"/>
              <w:right w:val="single" w:color="auto" w:sz="4" w:space="0"/>
            </w:tcBorders>
            <w:shd w:val="clear" w:color="auto" w:fill="auto"/>
            <w:vAlign w:val="center"/>
          </w:tcPr>
          <w:p w14:paraId="5F26C63B">
            <w:pPr>
              <w:jc w:val="center"/>
              <w:rPr>
                <w:rFonts w:ascii="宋体" w:hAnsi="宋体" w:cs="宋体"/>
                <w:sz w:val="22"/>
                <w:szCs w:val="22"/>
              </w:rPr>
            </w:pPr>
            <w:r>
              <w:rPr>
                <w:rFonts w:hint="eastAsia" w:ascii="宋体" w:hAnsi="宋体" w:cs="宋体"/>
                <w:sz w:val="22"/>
                <w:szCs w:val="22"/>
              </w:rPr>
              <w:t>消防电话</w:t>
            </w:r>
          </w:p>
        </w:tc>
        <w:tc>
          <w:tcPr>
            <w:tcW w:w="1134" w:type="dxa"/>
            <w:tcBorders>
              <w:top w:val="nil"/>
              <w:left w:val="nil"/>
              <w:bottom w:val="single" w:color="auto" w:sz="4" w:space="0"/>
              <w:right w:val="single" w:color="auto" w:sz="4" w:space="0"/>
            </w:tcBorders>
            <w:shd w:val="clear" w:color="auto" w:fill="auto"/>
            <w:vAlign w:val="center"/>
          </w:tcPr>
          <w:p w14:paraId="6B515118">
            <w:pPr>
              <w:jc w:val="center"/>
              <w:rPr>
                <w:rFonts w:ascii="宋体" w:hAnsi="宋体" w:cs="宋体"/>
                <w:sz w:val="22"/>
                <w:szCs w:val="22"/>
              </w:rPr>
            </w:pPr>
            <w:r>
              <w:rPr>
                <w:rFonts w:hint="eastAsia" w:ascii="宋体" w:hAnsi="宋体" w:cs="宋体"/>
                <w:sz w:val="22"/>
                <w:szCs w:val="22"/>
              </w:rPr>
              <w:t>1</w:t>
            </w:r>
          </w:p>
        </w:tc>
        <w:tc>
          <w:tcPr>
            <w:tcW w:w="1060" w:type="dxa"/>
            <w:tcBorders>
              <w:top w:val="nil"/>
              <w:left w:val="nil"/>
              <w:bottom w:val="single" w:color="auto" w:sz="4" w:space="0"/>
              <w:right w:val="single" w:color="auto" w:sz="4" w:space="0"/>
            </w:tcBorders>
            <w:shd w:val="clear" w:color="auto" w:fill="auto"/>
            <w:vAlign w:val="center"/>
          </w:tcPr>
          <w:p w14:paraId="53A5B297">
            <w:pPr>
              <w:jc w:val="center"/>
              <w:rPr>
                <w:rFonts w:ascii="宋体" w:hAnsi="宋体" w:cs="宋体"/>
                <w:sz w:val="22"/>
                <w:szCs w:val="22"/>
              </w:rPr>
            </w:pPr>
            <w:r>
              <w:rPr>
                <w:rFonts w:hint="eastAsia" w:ascii="宋体" w:hAnsi="宋体" w:cs="宋体"/>
                <w:sz w:val="22"/>
                <w:szCs w:val="22"/>
              </w:rPr>
              <w:t>套</w:t>
            </w:r>
          </w:p>
        </w:tc>
        <w:tc>
          <w:tcPr>
            <w:tcW w:w="2880" w:type="dxa"/>
            <w:tcBorders>
              <w:top w:val="nil"/>
              <w:left w:val="nil"/>
              <w:bottom w:val="single" w:color="auto" w:sz="4" w:space="0"/>
              <w:right w:val="single" w:color="auto" w:sz="4" w:space="0"/>
            </w:tcBorders>
            <w:shd w:val="clear" w:color="auto" w:fill="auto"/>
            <w:vAlign w:val="center"/>
          </w:tcPr>
          <w:p w14:paraId="35AE323B">
            <w:pPr>
              <w:jc w:val="center"/>
              <w:rPr>
                <w:rFonts w:ascii="宋体" w:hAnsi="宋体" w:cs="宋体"/>
                <w:sz w:val="22"/>
                <w:szCs w:val="22"/>
              </w:rPr>
            </w:pPr>
            <w:r>
              <w:rPr>
                <w:rFonts w:hint="eastAsia" w:ascii="宋体" w:hAnsi="宋体" w:cs="宋体"/>
                <w:sz w:val="22"/>
                <w:szCs w:val="22"/>
              </w:rPr>
              <w:t>　</w:t>
            </w:r>
          </w:p>
        </w:tc>
      </w:tr>
      <w:tr w14:paraId="3419FB61">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1E106E6">
            <w:pPr>
              <w:jc w:val="center"/>
              <w:rPr>
                <w:rFonts w:ascii="宋体" w:hAnsi="宋体" w:cs="宋体"/>
                <w:sz w:val="22"/>
                <w:szCs w:val="22"/>
              </w:rPr>
            </w:pPr>
            <w:r>
              <w:rPr>
                <w:rFonts w:hint="eastAsia" w:ascii="宋体" w:hAnsi="宋体" w:cs="宋体"/>
                <w:sz w:val="22"/>
                <w:szCs w:val="22"/>
              </w:rPr>
              <w:t>26</w:t>
            </w:r>
          </w:p>
        </w:tc>
        <w:tc>
          <w:tcPr>
            <w:tcW w:w="2551" w:type="dxa"/>
            <w:tcBorders>
              <w:top w:val="nil"/>
              <w:left w:val="nil"/>
              <w:bottom w:val="single" w:color="auto" w:sz="4" w:space="0"/>
              <w:right w:val="single" w:color="auto" w:sz="4" w:space="0"/>
            </w:tcBorders>
            <w:shd w:val="clear" w:color="auto" w:fill="auto"/>
            <w:vAlign w:val="center"/>
          </w:tcPr>
          <w:p w14:paraId="2FE6C58B">
            <w:pPr>
              <w:jc w:val="center"/>
              <w:rPr>
                <w:rFonts w:ascii="宋体" w:hAnsi="宋体" w:cs="宋体"/>
                <w:sz w:val="22"/>
                <w:szCs w:val="22"/>
              </w:rPr>
            </w:pPr>
            <w:r>
              <w:rPr>
                <w:rFonts w:hint="eastAsia" w:ascii="宋体" w:hAnsi="宋体" w:cs="宋体"/>
                <w:sz w:val="22"/>
                <w:szCs w:val="22"/>
              </w:rPr>
              <w:t>高空水炮</w:t>
            </w:r>
          </w:p>
        </w:tc>
        <w:tc>
          <w:tcPr>
            <w:tcW w:w="1134" w:type="dxa"/>
            <w:tcBorders>
              <w:top w:val="nil"/>
              <w:left w:val="nil"/>
              <w:bottom w:val="single" w:color="auto" w:sz="4" w:space="0"/>
              <w:right w:val="single" w:color="auto" w:sz="4" w:space="0"/>
            </w:tcBorders>
            <w:shd w:val="clear" w:color="auto" w:fill="auto"/>
            <w:vAlign w:val="center"/>
          </w:tcPr>
          <w:p w14:paraId="0659CC95">
            <w:pPr>
              <w:jc w:val="center"/>
              <w:rPr>
                <w:rFonts w:ascii="宋体" w:hAnsi="宋体" w:cs="宋体"/>
                <w:sz w:val="22"/>
                <w:szCs w:val="22"/>
              </w:rPr>
            </w:pPr>
            <w:r>
              <w:rPr>
                <w:rFonts w:hint="eastAsia" w:ascii="宋体" w:hAnsi="宋体" w:cs="宋体"/>
                <w:sz w:val="22"/>
                <w:szCs w:val="22"/>
              </w:rPr>
              <w:t>4</w:t>
            </w:r>
          </w:p>
        </w:tc>
        <w:tc>
          <w:tcPr>
            <w:tcW w:w="1060" w:type="dxa"/>
            <w:tcBorders>
              <w:top w:val="nil"/>
              <w:left w:val="nil"/>
              <w:bottom w:val="single" w:color="auto" w:sz="4" w:space="0"/>
              <w:right w:val="single" w:color="auto" w:sz="4" w:space="0"/>
            </w:tcBorders>
            <w:shd w:val="clear" w:color="auto" w:fill="auto"/>
            <w:vAlign w:val="center"/>
          </w:tcPr>
          <w:p w14:paraId="19CFE4B7">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4DC44077">
            <w:pPr>
              <w:jc w:val="center"/>
              <w:rPr>
                <w:rFonts w:ascii="宋体" w:hAnsi="宋体" w:cs="宋体"/>
                <w:sz w:val="22"/>
                <w:szCs w:val="22"/>
              </w:rPr>
            </w:pPr>
            <w:r>
              <w:rPr>
                <w:rFonts w:hint="eastAsia" w:ascii="宋体" w:hAnsi="宋体" w:cs="宋体"/>
                <w:sz w:val="22"/>
                <w:szCs w:val="22"/>
              </w:rPr>
              <w:t>　</w:t>
            </w:r>
          </w:p>
        </w:tc>
      </w:tr>
      <w:tr w14:paraId="514E31DD">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3AD696D">
            <w:pPr>
              <w:jc w:val="center"/>
              <w:rPr>
                <w:rFonts w:ascii="宋体" w:hAnsi="宋体" w:cs="宋体"/>
                <w:sz w:val="22"/>
                <w:szCs w:val="22"/>
              </w:rPr>
            </w:pPr>
            <w:r>
              <w:rPr>
                <w:rFonts w:hint="eastAsia" w:ascii="宋体" w:hAnsi="宋体" w:cs="宋体"/>
                <w:sz w:val="22"/>
                <w:szCs w:val="22"/>
              </w:rPr>
              <w:t>27</w:t>
            </w:r>
          </w:p>
        </w:tc>
        <w:tc>
          <w:tcPr>
            <w:tcW w:w="2551" w:type="dxa"/>
            <w:tcBorders>
              <w:top w:val="nil"/>
              <w:left w:val="nil"/>
              <w:bottom w:val="single" w:color="auto" w:sz="4" w:space="0"/>
              <w:right w:val="single" w:color="auto" w:sz="4" w:space="0"/>
            </w:tcBorders>
            <w:shd w:val="clear" w:color="auto" w:fill="auto"/>
            <w:vAlign w:val="center"/>
          </w:tcPr>
          <w:p w14:paraId="32419722">
            <w:pPr>
              <w:jc w:val="center"/>
              <w:rPr>
                <w:rFonts w:ascii="宋体" w:hAnsi="宋体" w:cs="宋体"/>
                <w:sz w:val="22"/>
                <w:szCs w:val="22"/>
              </w:rPr>
            </w:pPr>
            <w:r>
              <w:rPr>
                <w:rFonts w:hint="eastAsia" w:ascii="宋体" w:hAnsi="宋体" w:cs="宋体"/>
                <w:sz w:val="22"/>
                <w:szCs w:val="22"/>
              </w:rPr>
              <w:t>35公斤干粉灭火器</w:t>
            </w:r>
          </w:p>
        </w:tc>
        <w:tc>
          <w:tcPr>
            <w:tcW w:w="1134" w:type="dxa"/>
            <w:tcBorders>
              <w:top w:val="nil"/>
              <w:left w:val="nil"/>
              <w:bottom w:val="single" w:color="auto" w:sz="4" w:space="0"/>
              <w:right w:val="single" w:color="auto" w:sz="4" w:space="0"/>
            </w:tcBorders>
            <w:shd w:val="clear" w:color="auto" w:fill="auto"/>
            <w:vAlign w:val="center"/>
          </w:tcPr>
          <w:p w14:paraId="7D31C7E3">
            <w:pPr>
              <w:jc w:val="center"/>
              <w:rPr>
                <w:rFonts w:ascii="宋体" w:hAnsi="宋体" w:cs="宋体"/>
                <w:sz w:val="22"/>
                <w:szCs w:val="22"/>
              </w:rPr>
            </w:pPr>
            <w:r>
              <w:rPr>
                <w:rFonts w:hint="eastAsia" w:ascii="宋体" w:hAnsi="宋体" w:cs="宋体"/>
                <w:sz w:val="22"/>
                <w:szCs w:val="22"/>
              </w:rPr>
              <w:t>12</w:t>
            </w:r>
          </w:p>
        </w:tc>
        <w:tc>
          <w:tcPr>
            <w:tcW w:w="1060" w:type="dxa"/>
            <w:tcBorders>
              <w:top w:val="nil"/>
              <w:left w:val="nil"/>
              <w:bottom w:val="single" w:color="auto" w:sz="4" w:space="0"/>
              <w:right w:val="single" w:color="auto" w:sz="4" w:space="0"/>
            </w:tcBorders>
            <w:shd w:val="clear" w:color="auto" w:fill="auto"/>
            <w:vAlign w:val="center"/>
          </w:tcPr>
          <w:p w14:paraId="3E11F218">
            <w:pPr>
              <w:jc w:val="center"/>
              <w:rPr>
                <w:rFonts w:ascii="宋体" w:hAnsi="宋体" w:cs="宋体"/>
                <w:sz w:val="22"/>
                <w:szCs w:val="22"/>
              </w:rPr>
            </w:pPr>
            <w:r>
              <w:rPr>
                <w:rFonts w:hint="eastAsia" w:ascii="宋体" w:hAnsi="宋体" w:cs="宋体"/>
                <w:sz w:val="22"/>
                <w:szCs w:val="22"/>
              </w:rPr>
              <w:t>支</w:t>
            </w:r>
          </w:p>
        </w:tc>
        <w:tc>
          <w:tcPr>
            <w:tcW w:w="2880" w:type="dxa"/>
            <w:tcBorders>
              <w:top w:val="nil"/>
              <w:left w:val="nil"/>
              <w:bottom w:val="single" w:color="auto" w:sz="4" w:space="0"/>
              <w:right w:val="single" w:color="auto" w:sz="4" w:space="0"/>
            </w:tcBorders>
            <w:shd w:val="clear" w:color="auto" w:fill="auto"/>
            <w:vAlign w:val="center"/>
          </w:tcPr>
          <w:p w14:paraId="6912F31D">
            <w:pPr>
              <w:jc w:val="center"/>
              <w:rPr>
                <w:rFonts w:ascii="宋体" w:hAnsi="宋体" w:cs="宋体"/>
                <w:sz w:val="22"/>
                <w:szCs w:val="22"/>
              </w:rPr>
            </w:pPr>
            <w:r>
              <w:rPr>
                <w:rFonts w:hint="eastAsia" w:ascii="宋体" w:hAnsi="宋体" w:cs="宋体"/>
                <w:sz w:val="22"/>
                <w:szCs w:val="22"/>
              </w:rPr>
              <w:t>推车式</w:t>
            </w:r>
          </w:p>
        </w:tc>
      </w:tr>
      <w:tr w14:paraId="28E76E7F">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DEB32B5">
            <w:pPr>
              <w:jc w:val="center"/>
              <w:rPr>
                <w:rFonts w:ascii="宋体" w:hAnsi="宋体" w:cs="宋体"/>
                <w:sz w:val="22"/>
                <w:szCs w:val="22"/>
              </w:rPr>
            </w:pPr>
            <w:r>
              <w:rPr>
                <w:rFonts w:hint="eastAsia" w:ascii="宋体" w:hAnsi="宋体" w:cs="宋体"/>
                <w:sz w:val="22"/>
                <w:szCs w:val="22"/>
              </w:rPr>
              <w:t>28</w:t>
            </w:r>
          </w:p>
        </w:tc>
        <w:tc>
          <w:tcPr>
            <w:tcW w:w="2551" w:type="dxa"/>
            <w:tcBorders>
              <w:top w:val="nil"/>
              <w:left w:val="nil"/>
              <w:bottom w:val="single" w:color="auto" w:sz="4" w:space="0"/>
              <w:right w:val="single" w:color="auto" w:sz="4" w:space="0"/>
            </w:tcBorders>
            <w:shd w:val="clear" w:color="auto" w:fill="auto"/>
            <w:vAlign w:val="center"/>
          </w:tcPr>
          <w:p w14:paraId="1D0CD226">
            <w:pPr>
              <w:jc w:val="center"/>
              <w:rPr>
                <w:rFonts w:ascii="宋体" w:hAnsi="宋体" w:cs="宋体"/>
                <w:sz w:val="22"/>
                <w:szCs w:val="22"/>
              </w:rPr>
            </w:pPr>
            <w:r>
              <w:rPr>
                <w:rFonts w:hint="eastAsia" w:ascii="宋体" w:hAnsi="宋体" w:cs="宋体"/>
                <w:sz w:val="22"/>
                <w:szCs w:val="22"/>
              </w:rPr>
              <w:t>3公斤二氧化碳灭火器</w:t>
            </w:r>
          </w:p>
        </w:tc>
        <w:tc>
          <w:tcPr>
            <w:tcW w:w="1134" w:type="dxa"/>
            <w:tcBorders>
              <w:top w:val="nil"/>
              <w:left w:val="nil"/>
              <w:bottom w:val="single" w:color="auto" w:sz="4" w:space="0"/>
              <w:right w:val="single" w:color="auto" w:sz="4" w:space="0"/>
            </w:tcBorders>
            <w:shd w:val="clear" w:color="auto" w:fill="auto"/>
            <w:vAlign w:val="center"/>
          </w:tcPr>
          <w:p w14:paraId="4B852826">
            <w:pPr>
              <w:jc w:val="center"/>
              <w:rPr>
                <w:rFonts w:ascii="宋体" w:hAnsi="宋体" w:cs="宋体"/>
                <w:sz w:val="22"/>
                <w:szCs w:val="22"/>
              </w:rPr>
            </w:pPr>
            <w:r>
              <w:rPr>
                <w:rFonts w:hint="eastAsia" w:ascii="宋体" w:hAnsi="宋体" w:cs="宋体"/>
                <w:sz w:val="22"/>
                <w:szCs w:val="22"/>
              </w:rPr>
              <w:t>90</w:t>
            </w:r>
          </w:p>
        </w:tc>
        <w:tc>
          <w:tcPr>
            <w:tcW w:w="1060" w:type="dxa"/>
            <w:tcBorders>
              <w:top w:val="nil"/>
              <w:left w:val="nil"/>
              <w:bottom w:val="single" w:color="auto" w:sz="4" w:space="0"/>
              <w:right w:val="single" w:color="auto" w:sz="4" w:space="0"/>
            </w:tcBorders>
            <w:shd w:val="clear" w:color="auto" w:fill="auto"/>
            <w:vAlign w:val="center"/>
          </w:tcPr>
          <w:p w14:paraId="410D544B">
            <w:pPr>
              <w:jc w:val="center"/>
              <w:rPr>
                <w:rFonts w:ascii="宋体" w:hAnsi="宋体" w:cs="宋体"/>
                <w:sz w:val="22"/>
                <w:szCs w:val="22"/>
              </w:rPr>
            </w:pPr>
            <w:r>
              <w:rPr>
                <w:rFonts w:hint="eastAsia" w:ascii="宋体" w:hAnsi="宋体" w:cs="宋体"/>
                <w:sz w:val="22"/>
                <w:szCs w:val="22"/>
              </w:rPr>
              <w:t>支</w:t>
            </w:r>
          </w:p>
        </w:tc>
        <w:tc>
          <w:tcPr>
            <w:tcW w:w="2880" w:type="dxa"/>
            <w:tcBorders>
              <w:top w:val="nil"/>
              <w:left w:val="nil"/>
              <w:bottom w:val="single" w:color="auto" w:sz="4" w:space="0"/>
              <w:right w:val="single" w:color="auto" w:sz="4" w:space="0"/>
            </w:tcBorders>
            <w:shd w:val="clear" w:color="auto" w:fill="auto"/>
            <w:vAlign w:val="center"/>
          </w:tcPr>
          <w:p w14:paraId="13CD134C">
            <w:pPr>
              <w:jc w:val="center"/>
              <w:rPr>
                <w:rFonts w:ascii="宋体" w:hAnsi="宋体" w:cs="宋体"/>
                <w:sz w:val="22"/>
                <w:szCs w:val="22"/>
              </w:rPr>
            </w:pPr>
            <w:r>
              <w:rPr>
                <w:rFonts w:hint="eastAsia" w:ascii="宋体" w:hAnsi="宋体" w:cs="宋体"/>
                <w:sz w:val="22"/>
                <w:szCs w:val="22"/>
              </w:rPr>
              <w:t>　手提式</w:t>
            </w:r>
          </w:p>
        </w:tc>
      </w:tr>
      <w:tr w14:paraId="1BF145F0">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EA56C0A">
            <w:pPr>
              <w:jc w:val="center"/>
              <w:rPr>
                <w:rFonts w:ascii="宋体" w:hAnsi="宋体" w:cs="宋体"/>
                <w:sz w:val="22"/>
                <w:szCs w:val="22"/>
              </w:rPr>
            </w:pPr>
            <w:r>
              <w:rPr>
                <w:rFonts w:hint="eastAsia" w:ascii="宋体" w:hAnsi="宋体" w:cs="宋体"/>
                <w:sz w:val="22"/>
                <w:szCs w:val="22"/>
              </w:rPr>
              <w:t>29</w:t>
            </w:r>
          </w:p>
        </w:tc>
        <w:tc>
          <w:tcPr>
            <w:tcW w:w="2551" w:type="dxa"/>
            <w:tcBorders>
              <w:top w:val="nil"/>
              <w:left w:val="nil"/>
              <w:bottom w:val="single" w:color="auto" w:sz="4" w:space="0"/>
              <w:right w:val="single" w:color="auto" w:sz="4" w:space="0"/>
            </w:tcBorders>
            <w:shd w:val="clear" w:color="auto" w:fill="auto"/>
            <w:vAlign w:val="center"/>
          </w:tcPr>
          <w:p w14:paraId="0856C858">
            <w:pPr>
              <w:jc w:val="center"/>
              <w:rPr>
                <w:rFonts w:ascii="宋体" w:hAnsi="宋体" w:cs="宋体"/>
                <w:sz w:val="22"/>
                <w:szCs w:val="22"/>
              </w:rPr>
            </w:pPr>
            <w:r>
              <w:rPr>
                <w:rFonts w:hint="eastAsia" w:ascii="宋体" w:hAnsi="宋体" w:cs="宋体"/>
                <w:sz w:val="22"/>
                <w:szCs w:val="22"/>
              </w:rPr>
              <w:t>8公斤七氟丙烷灭火器</w:t>
            </w:r>
          </w:p>
        </w:tc>
        <w:tc>
          <w:tcPr>
            <w:tcW w:w="1134" w:type="dxa"/>
            <w:tcBorders>
              <w:top w:val="nil"/>
              <w:left w:val="nil"/>
              <w:bottom w:val="single" w:color="auto" w:sz="4" w:space="0"/>
              <w:right w:val="single" w:color="auto" w:sz="4" w:space="0"/>
            </w:tcBorders>
            <w:shd w:val="clear" w:color="auto" w:fill="auto"/>
            <w:vAlign w:val="center"/>
          </w:tcPr>
          <w:p w14:paraId="6597DA2A">
            <w:pPr>
              <w:jc w:val="center"/>
              <w:rPr>
                <w:rFonts w:ascii="宋体" w:hAnsi="宋体" w:cs="宋体"/>
                <w:sz w:val="22"/>
                <w:szCs w:val="22"/>
              </w:rPr>
            </w:pPr>
            <w:r>
              <w:rPr>
                <w:rFonts w:hint="eastAsia" w:ascii="宋体" w:hAnsi="宋体" w:cs="宋体"/>
                <w:sz w:val="22"/>
                <w:szCs w:val="22"/>
              </w:rPr>
              <w:t>27</w:t>
            </w:r>
          </w:p>
        </w:tc>
        <w:tc>
          <w:tcPr>
            <w:tcW w:w="1060" w:type="dxa"/>
            <w:tcBorders>
              <w:top w:val="nil"/>
              <w:left w:val="nil"/>
              <w:bottom w:val="single" w:color="auto" w:sz="4" w:space="0"/>
              <w:right w:val="single" w:color="auto" w:sz="4" w:space="0"/>
            </w:tcBorders>
            <w:shd w:val="clear" w:color="auto" w:fill="auto"/>
            <w:vAlign w:val="center"/>
          </w:tcPr>
          <w:p w14:paraId="4FD13B38">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nil"/>
              <w:bottom w:val="single" w:color="auto" w:sz="4" w:space="0"/>
              <w:right w:val="single" w:color="auto" w:sz="4" w:space="0"/>
            </w:tcBorders>
            <w:shd w:val="clear" w:color="auto" w:fill="auto"/>
            <w:vAlign w:val="center"/>
          </w:tcPr>
          <w:p w14:paraId="2A53C6E6">
            <w:pPr>
              <w:jc w:val="center"/>
              <w:rPr>
                <w:rFonts w:ascii="宋体" w:hAnsi="宋体" w:cs="宋体"/>
                <w:sz w:val="22"/>
                <w:szCs w:val="22"/>
              </w:rPr>
            </w:pPr>
            <w:r>
              <w:rPr>
                <w:rFonts w:hint="eastAsia" w:ascii="宋体" w:hAnsi="宋体" w:cs="宋体"/>
                <w:sz w:val="22"/>
                <w:szCs w:val="22"/>
              </w:rPr>
              <w:t>灯笼式</w:t>
            </w:r>
          </w:p>
        </w:tc>
      </w:tr>
      <w:tr w14:paraId="01F6541E">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29366EC">
            <w:pPr>
              <w:jc w:val="center"/>
              <w:rPr>
                <w:rFonts w:ascii="宋体" w:hAnsi="宋体" w:cs="宋体"/>
                <w:sz w:val="22"/>
                <w:szCs w:val="22"/>
              </w:rPr>
            </w:pPr>
            <w:r>
              <w:rPr>
                <w:rFonts w:hint="eastAsia" w:ascii="宋体" w:hAnsi="宋体" w:cs="宋体"/>
                <w:sz w:val="22"/>
                <w:szCs w:val="22"/>
              </w:rPr>
              <w:t>30</w:t>
            </w:r>
          </w:p>
        </w:tc>
        <w:tc>
          <w:tcPr>
            <w:tcW w:w="2551" w:type="dxa"/>
            <w:tcBorders>
              <w:top w:val="nil"/>
              <w:left w:val="nil"/>
              <w:bottom w:val="single" w:color="auto" w:sz="4" w:space="0"/>
              <w:right w:val="single" w:color="auto" w:sz="4" w:space="0"/>
            </w:tcBorders>
            <w:shd w:val="clear" w:color="auto" w:fill="auto"/>
            <w:vAlign w:val="center"/>
          </w:tcPr>
          <w:p w14:paraId="0CB9065B">
            <w:pPr>
              <w:jc w:val="center"/>
              <w:rPr>
                <w:rFonts w:ascii="宋体" w:hAnsi="宋体" w:cs="宋体"/>
                <w:sz w:val="22"/>
                <w:szCs w:val="22"/>
              </w:rPr>
            </w:pPr>
            <w:r>
              <w:rPr>
                <w:rFonts w:hint="eastAsia" w:ascii="宋体" w:hAnsi="宋体" w:cs="宋体"/>
                <w:sz w:val="22"/>
                <w:szCs w:val="22"/>
              </w:rPr>
              <w:t>防毒面具</w:t>
            </w:r>
          </w:p>
        </w:tc>
        <w:tc>
          <w:tcPr>
            <w:tcW w:w="1134" w:type="dxa"/>
            <w:tcBorders>
              <w:top w:val="nil"/>
              <w:left w:val="nil"/>
              <w:bottom w:val="single" w:color="auto" w:sz="4" w:space="0"/>
              <w:right w:val="nil"/>
            </w:tcBorders>
            <w:shd w:val="clear" w:color="auto" w:fill="auto"/>
            <w:vAlign w:val="center"/>
          </w:tcPr>
          <w:p w14:paraId="48BD4C76">
            <w:pPr>
              <w:jc w:val="center"/>
              <w:rPr>
                <w:rFonts w:ascii="宋体" w:hAnsi="宋体" w:cs="宋体"/>
                <w:sz w:val="22"/>
                <w:szCs w:val="22"/>
              </w:rPr>
            </w:pPr>
            <w:r>
              <w:rPr>
                <w:rFonts w:hint="eastAsia" w:ascii="宋体" w:hAnsi="宋体" w:cs="宋体"/>
                <w:sz w:val="22"/>
                <w:szCs w:val="22"/>
              </w:rPr>
              <w:t>2630</w:t>
            </w:r>
          </w:p>
        </w:tc>
        <w:tc>
          <w:tcPr>
            <w:tcW w:w="1060" w:type="dxa"/>
            <w:tcBorders>
              <w:top w:val="nil"/>
              <w:left w:val="single" w:color="auto" w:sz="4" w:space="0"/>
              <w:bottom w:val="single" w:color="auto" w:sz="4" w:space="0"/>
              <w:right w:val="nil"/>
            </w:tcBorders>
            <w:shd w:val="clear" w:color="auto" w:fill="auto"/>
            <w:vAlign w:val="center"/>
          </w:tcPr>
          <w:p w14:paraId="2EE8CEA8">
            <w:pPr>
              <w:jc w:val="center"/>
              <w:rPr>
                <w:rFonts w:ascii="宋体" w:hAnsi="宋体" w:cs="宋体"/>
                <w:sz w:val="22"/>
                <w:szCs w:val="22"/>
              </w:rPr>
            </w:pPr>
            <w:r>
              <w:rPr>
                <w:rFonts w:hint="eastAsia" w:ascii="宋体" w:hAnsi="宋体" w:cs="宋体"/>
                <w:sz w:val="22"/>
                <w:szCs w:val="22"/>
              </w:rPr>
              <w:t>个</w:t>
            </w:r>
          </w:p>
        </w:tc>
        <w:tc>
          <w:tcPr>
            <w:tcW w:w="2880" w:type="dxa"/>
            <w:tcBorders>
              <w:top w:val="nil"/>
              <w:left w:val="single" w:color="auto" w:sz="4" w:space="0"/>
              <w:bottom w:val="single" w:color="auto" w:sz="4" w:space="0"/>
              <w:right w:val="single" w:color="auto" w:sz="4" w:space="0"/>
            </w:tcBorders>
            <w:shd w:val="clear" w:color="auto" w:fill="auto"/>
            <w:vAlign w:val="center"/>
          </w:tcPr>
          <w:p w14:paraId="471EDBA3">
            <w:pPr>
              <w:jc w:val="center"/>
              <w:rPr>
                <w:rFonts w:ascii="宋体" w:hAnsi="宋体" w:cs="宋体"/>
                <w:sz w:val="22"/>
                <w:szCs w:val="22"/>
              </w:rPr>
            </w:pPr>
            <w:r>
              <w:rPr>
                <w:rFonts w:hint="eastAsia" w:ascii="宋体" w:hAnsi="宋体" w:cs="宋体"/>
                <w:sz w:val="22"/>
                <w:szCs w:val="22"/>
              </w:rPr>
              <w:t>　</w:t>
            </w:r>
          </w:p>
        </w:tc>
      </w:tr>
      <w:tr w14:paraId="2B750B61">
        <w:tblPrEx>
          <w:tblCellMar>
            <w:top w:w="0" w:type="dxa"/>
            <w:left w:w="108" w:type="dxa"/>
            <w:bottom w:w="0" w:type="dxa"/>
            <w:right w:w="108" w:type="dxa"/>
          </w:tblCellMar>
        </w:tblPrEx>
        <w:trPr>
          <w:trHeight w:val="40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A7D1963">
            <w:pPr>
              <w:jc w:val="center"/>
              <w:rPr>
                <w:rFonts w:ascii="宋体" w:hAnsi="宋体" w:cs="宋体"/>
                <w:sz w:val="22"/>
                <w:szCs w:val="22"/>
              </w:rPr>
            </w:pPr>
            <w:r>
              <w:rPr>
                <w:rFonts w:hint="eastAsia" w:ascii="宋体" w:hAnsi="宋体" w:cs="宋体"/>
                <w:sz w:val="22"/>
                <w:szCs w:val="22"/>
              </w:rPr>
              <w:t>31</w:t>
            </w:r>
          </w:p>
        </w:tc>
        <w:tc>
          <w:tcPr>
            <w:tcW w:w="2551" w:type="dxa"/>
            <w:tcBorders>
              <w:top w:val="nil"/>
              <w:left w:val="nil"/>
              <w:bottom w:val="single" w:color="auto" w:sz="4" w:space="0"/>
              <w:right w:val="single" w:color="auto" w:sz="4" w:space="0"/>
            </w:tcBorders>
            <w:shd w:val="clear" w:color="auto" w:fill="auto"/>
            <w:vAlign w:val="center"/>
          </w:tcPr>
          <w:p w14:paraId="44A9A2FA">
            <w:pPr>
              <w:jc w:val="center"/>
              <w:rPr>
                <w:rFonts w:ascii="宋体" w:hAnsi="宋体" w:cs="宋体"/>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25BA0085">
            <w:pPr>
              <w:jc w:val="center"/>
              <w:rPr>
                <w:rFonts w:ascii="宋体" w:hAnsi="宋体" w:cs="宋体"/>
                <w:sz w:val="22"/>
                <w:szCs w:val="22"/>
              </w:rPr>
            </w:pPr>
          </w:p>
        </w:tc>
        <w:tc>
          <w:tcPr>
            <w:tcW w:w="1060" w:type="dxa"/>
            <w:tcBorders>
              <w:top w:val="nil"/>
              <w:left w:val="nil"/>
              <w:bottom w:val="single" w:color="auto" w:sz="4" w:space="0"/>
              <w:right w:val="single" w:color="auto" w:sz="4" w:space="0"/>
            </w:tcBorders>
            <w:shd w:val="clear" w:color="auto" w:fill="auto"/>
            <w:vAlign w:val="center"/>
          </w:tcPr>
          <w:p w14:paraId="7718D9DA">
            <w:pPr>
              <w:jc w:val="center"/>
              <w:rPr>
                <w:rFonts w:ascii="宋体" w:hAnsi="宋体" w:cs="宋体"/>
                <w:sz w:val="22"/>
                <w:szCs w:val="22"/>
              </w:rPr>
            </w:pPr>
          </w:p>
        </w:tc>
        <w:tc>
          <w:tcPr>
            <w:tcW w:w="2880" w:type="dxa"/>
            <w:tcBorders>
              <w:top w:val="nil"/>
              <w:left w:val="nil"/>
              <w:bottom w:val="single" w:color="auto" w:sz="4" w:space="0"/>
              <w:right w:val="single" w:color="auto" w:sz="4" w:space="0"/>
            </w:tcBorders>
            <w:shd w:val="clear" w:color="auto" w:fill="auto"/>
            <w:vAlign w:val="center"/>
          </w:tcPr>
          <w:p w14:paraId="011605CA">
            <w:pPr>
              <w:jc w:val="center"/>
              <w:rPr>
                <w:rFonts w:ascii="宋体" w:hAnsi="宋体" w:cs="宋体"/>
                <w:sz w:val="22"/>
                <w:szCs w:val="22"/>
              </w:rPr>
            </w:pPr>
            <w:r>
              <w:rPr>
                <w:rFonts w:hint="eastAsia" w:ascii="宋体" w:hAnsi="宋体" w:cs="宋体"/>
                <w:sz w:val="22"/>
                <w:szCs w:val="22"/>
              </w:rPr>
              <w:t>　</w:t>
            </w:r>
          </w:p>
        </w:tc>
      </w:tr>
    </w:tbl>
    <w:p w14:paraId="266D7A6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156F69"/>
    <w:rsid w:val="00001DB4"/>
    <w:rsid w:val="00014510"/>
    <w:rsid w:val="000717B3"/>
    <w:rsid w:val="000850FE"/>
    <w:rsid w:val="0009515C"/>
    <w:rsid w:val="000A60D9"/>
    <w:rsid w:val="000E0E23"/>
    <w:rsid w:val="00107D10"/>
    <w:rsid w:val="00150F03"/>
    <w:rsid w:val="00156F69"/>
    <w:rsid w:val="0016532C"/>
    <w:rsid w:val="00165C81"/>
    <w:rsid w:val="0017459E"/>
    <w:rsid w:val="00174D1F"/>
    <w:rsid w:val="001779E4"/>
    <w:rsid w:val="0019319B"/>
    <w:rsid w:val="001A35C1"/>
    <w:rsid w:val="001A56D4"/>
    <w:rsid w:val="002245A0"/>
    <w:rsid w:val="00236341"/>
    <w:rsid w:val="002603FB"/>
    <w:rsid w:val="00273FCF"/>
    <w:rsid w:val="002754EF"/>
    <w:rsid w:val="002A53DD"/>
    <w:rsid w:val="002B15A1"/>
    <w:rsid w:val="002F720D"/>
    <w:rsid w:val="003251D4"/>
    <w:rsid w:val="003406F4"/>
    <w:rsid w:val="00342630"/>
    <w:rsid w:val="003556DA"/>
    <w:rsid w:val="003C37F3"/>
    <w:rsid w:val="003C724A"/>
    <w:rsid w:val="003D077A"/>
    <w:rsid w:val="00401981"/>
    <w:rsid w:val="00407F84"/>
    <w:rsid w:val="0041115E"/>
    <w:rsid w:val="004A38AC"/>
    <w:rsid w:val="004C0EC9"/>
    <w:rsid w:val="004F14A2"/>
    <w:rsid w:val="004F7C61"/>
    <w:rsid w:val="005051B5"/>
    <w:rsid w:val="0050688B"/>
    <w:rsid w:val="00507EE1"/>
    <w:rsid w:val="005214B2"/>
    <w:rsid w:val="00531CB3"/>
    <w:rsid w:val="0056010D"/>
    <w:rsid w:val="005662BF"/>
    <w:rsid w:val="00574C4A"/>
    <w:rsid w:val="005838D1"/>
    <w:rsid w:val="00587121"/>
    <w:rsid w:val="005B2C73"/>
    <w:rsid w:val="005C764A"/>
    <w:rsid w:val="005E060E"/>
    <w:rsid w:val="00605B2E"/>
    <w:rsid w:val="006247A0"/>
    <w:rsid w:val="006355E6"/>
    <w:rsid w:val="00660FE9"/>
    <w:rsid w:val="006A28BB"/>
    <w:rsid w:val="006A4951"/>
    <w:rsid w:val="006D2A40"/>
    <w:rsid w:val="006F1F09"/>
    <w:rsid w:val="007104DC"/>
    <w:rsid w:val="0073518E"/>
    <w:rsid w:val="00740DCF"/>
    <w:rsid w:val="00743B3B"/>
    <w:rsid w:val="00765D32"/>
    <w:rsid w:val="007B5DC4"/>
    <w:rsid w:val="007E1C81"/>
    <w:rsid w:val="008478C6"/>
    <w:rsid w:val="00847B56"/>
    <w:rsid w:val="00863096"/>
    <w:rsid w:val="0088622B"/>
    <w:rsid w:val="00893611"/>
    <w:rsid w:val="008A3BDD"/>
    <w:rsid w:val="008C0A98"/>
    <w:rsid w:val="008C64B2"/>
    <w:rsid w:val="008D1F25"/>
    <w:rsid w:val="008D388A"/>
    <w:rsid w:val="008D6C81"/>
    <w:rsid w:val="00901989"/>
    <w:rsid w:val="00902BFB"/>
    <w:rsid w:val="00903A2D"/>
    <w:rsid w:val="0094622B"/>
    <w:rsid w:val="00961D50"/>
    <w:rsid w:val="0098646B"/>
    <w:rsid w:val="009D17C1"/>
    <w:rsid w:val="009F13F2"/>
    <w:rsid w:val="00A04DBB"/>
    <w:rsid w:val="00A0774D"/>
    <w:rsid w:val="00A271F9"/>
    <w:rsid w:val="00A347C7"/>
    <w:rsid w:val="00A85E91"/>
    <w:rsid w:val="00A87EE0"/>
    <w:rsid w:val="00AA6AEB"/>
    <w:rsid w:val="00AD49B6"/>
    <w:rsid w:val="00AD750C"/>
    <w:rsid w:val="00AE50FC"/>
    <w:rsid w:val="00B15253"/>
    <w:rsid w:val="00B64DED"/>
    <w:rsid w:val="00B661CD"/>
    <w:rsid w:val="00B73355"/>
    <w:rsid w:val="00B97DF7"/>
    <w:rsid w:val="00BB2F15"/>
    <w:rsid w:val="00BD2FB9"/>
    <w:rsid w:val="00BF3DB6"/>
    <w:rsid w:val="00BF7118"/>
    <w:rsid w:val="00C34334"/>
    <w:rsid w:val="00C64A3B"/>
    <w:rsid w:val="00C93A79"/>
    <w:rsid w:val="00CC065E"/>
    <w:rsid w:val="00CF6447"/>
    <w:rsid w:val="00D05A2D"/>
    <w:rsid w:val="00D222B0"/>
    <w:rsid w:val="00D22929"/>
    <w:rsid w:val="00D23B65"/>
    <w:rsid w:val="00D3553B"/>
    <w:rsid w:val="00D42986"/>
    <w:rsid w:val="00D55931"/>
    <w:rsid w:val="00D73812"/>
    <w:rsid w:val="00DB2A37"/>
    <w:rsid w:val="00DD4721"/>
    <w:rsid w:val="00DD6DD7"/>
    <w:rsid w:val="00DE3FC1"/>
    <w:rsid w:val="00E06C3A"/>
    <w:rsid w:val="00E308C6"/>
    <w:rsid w:val="00E5152B"/>
    <w:rsid w:val="00E57CD4"/>
    <w:rsid w:val="00E74DC8"/>
    <w:rsid w:val="00E803D5"/>
    <w:rsid w:val="00E94B37"/>
    <w:rsid w:val="00EC207D"/>
    <w:rsid w:val="00F11DB5"/>
    <w:rsid w:val="00FC7E36"/>
    <w:rsid w:val="00FE2FA3"/>
    <w:rsid w:val="091B0B89"/>
    <w:rsid w:val="12CD27E6"/>
    <w:rsid w:val="304D3D26"/>
    <w:rsid w:val="309D6F93"/>
    <w:rsid w:val="38924236"/>
    <w:rsid w:val="5EA92062"/>
    <w:rsid w:val="5FB5724B"/>
    <w:rsid w:val="63E3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unhideWhenUsed/>
    <w:qFormat/>
    <w:uiPriority w:val="0"/>
    <w:pPr>
      <w:spacing w:after="120"/>
    </w:pPr>
    <w:rPr>
      <w:rFonts w:ascii="宋体" w:hAnsi="宋体"/>
    </w:rPr>
  </w:style>
  <w:style w:type="paragraph" w:styleId="3">
    <w:name w:val="toc 5"/>
    <w:basedOn w:val="1"/>
    <w:next w:val="1"/>
    <w:autoRedefine/>
    <w:semiHidden/>
    <w:unhideWhenUsed/>
    <w:qFormat/>
    <w:uiPriority w:val="0"/>
    <w:pPr>
      <w:widowControl w:val="0"/>
      <w:ind w:left="1680"/>
      <w:jc w:val="both"/>
    </w:pPr>
    <w:rPr>
      <w:kern w:val="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autoRedefine/>
    <w:qFormat/>
    <w:uiPriority w:val="10"/>
    <w:pPr>
      <w:widowControl w:val="0"/>
      <w:spacing w:before="240" w:after="60" w:line="360" w:lineRule="auto"/>
      <w:ind w:firstLine="480" w:firstLineChars="200"/>
      <w:jc w:val="center"/>
      <w:outlineLvl w:val="0"/>
    </w:pPr>
    <w:rPr>
      <w:rFonts w:asciiTheme="majorHAnsi" w:hAnsiTheme="majorHAnsi" w:cstheme="majorBidi"/>
      <w:b/>
      <w:bCs/>
      <w:kern w:val="2"/>
      <w:sz w:val="32"/>
      <w:szCs w:val="32"/>
    </w:rPr>
  </w:style>
  <w:style w:type="character" w:customStyle="1" w:styleId="10">
    <w:name w:val="正文文本 字符"/>
    <w:basedOn w:val="9"/>
    <w:link w:val="2"/>
    <w:qFormat/>
    <w:uiPriority w:val="0"/>
    <w:rPr>
      <w:rFonts w:ascii="宋体" w:hAnsi="宋体" w:eastAsia="宋体" w:cs="Times New Roman"/>
      <w:sz w:val="21"/>
    </w:rPr>
  </w:style>
  <w:style w:type="paragraph" w:customStyle="1" w:styleId="11">
    <w:name w:val="标题1"/>
    <w:basedOn w:val="1"/>
    <w:qFormat/>
    <w:uiPriority w:val="0"/>
    <w:pPr>
      <w:spacing w:line="360" w:lineRule="auto"/>
      <w:jc w:val="center"/>
    </w:pPr>
    <w:rPr>
      <w:rFonts w:ascii="黑体" w:eastAsia="黑体"/>
      <w:b/>
      <w:sz w:val="44"/>
    </w:rPr>
  </w:style>
  <w:style w:type="character" w:customStyle="1" w:styleId="12">
    <w:name w:val="标题 字符"/>
    <w:basedOn w:val="9"/>
    <w:link w:val="7"/>
    <w:qFormat/>
    <w:uiPriority w:val="10"/>
    <w:rPr>
      <w:rFonts w:eastAsia="宋体" w:asciiTheme="majorHAnsi" w:hAnsiTheme="majorHAnsi" w:cstheme="majorBidi"/>
      <w:b/>
      <w:bCs/>
      <w:sz w:val="32"/>
      <w:szCs w:val="32"/>
    </w:rPr>
  </w:style>
  <w:style w:type="paragraph" w:customStyle="1" w:styleId="13">
    <w:name w:val="列出段落4"/>
    <w:basedOn w:val="1"/>
    <w:autoRedefine/>
    <w:qFormat/>
    <w:uiPriority w:val="34"/>
    <w:pPr>
      <w:widowControl w:val="0"/>
      <w:jc w:val="both"/>
    </w:pPr>
    <w:rPr>
      <w:rFonts w:ascii="Times New Roman" w:hAnsi="Times New Roman" w:cs="@微软简标宋"/>
      <w:sz w:val="20"/>
      <w:szCs w:val="24"/>
    </w:rPr>
  </w:style>
  <w:style w:type="paragraph" w:customStyle="1" w:styleId="14">
    <w:name w:val="标书正文"/>
    <w:basedOn w:val="1"/>
    <w:autoRedefine/>
    <w:qFormat/>
    <w:uiPriority w:val="0"/>
    <w:pPr>
      <w:widowControl w:val="0"/>
      <w:spacing w:line="360" w:lineRule="auto"/>
      <w:ind w:firstLine="480" w:firstLineChars="200"/>
      <w:jc w:val="both"/>
    </w:pPr>
    <w:rPr>
      <w:rFonts w:hAnsi="Times New Roman" w:eastAsia="华文中宋" w:asciiTheme="minorHAnsi"/>
      <w:kern w:val="2"/>
      <w:sz w:val="24"/>
      <w:szCs w:val="24"/>
    </w:rPr>
  </w:style>
  <w:style w:type="character" w:customStyle="1" w:styleId="15">
    <w:name w:val="页眉 字符"/>
    <w:basedOn w:val="9"/>
    <w:link w:val="6"/>
    <w:qFormat/>
    <w:uiPriority w:val="99"/>
    <w:rPr>
      <w:rFonts w:ascii="Calibri" w:hAnsi="Calibri" w:eastAsia="宋体" w:cs="Times New Roman"/>
      <w:kern w:val="0"/>
      <w:sz w:val="18"/>
      <w:szCs w:val="18"/>
    </w:rPr>
  </w:style>
  <w:style w:type="character" w:customStyle="1" w:styleId="16">
    <w:name w:val="页脚 字符"/>
    <w:basedOn w:val="9"/>
    <w:link w:val="5"/>
    <w:qFormat/>
    <w:uiPriority w:val="99"/>
    <w:rPr>
      <w:rFonts w:ascii="Calibri" w:hAnsi="Calibri" w:eastAsia="宋体" w:cs="Times New Roman"/>
      <w:kern w:val="0"/>
      <w:sz w:val="18"/>
      <w:szCs w:val="18"/>
    </w:rPr>
  </w:style>
  <w:style w:type="character" w:customStyle="1" w:styleId="17">
    <w:name w:val="批注框文本 字符"/>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101B-D377-4EF2-90D8-BBF2ADAF968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5238</Words>
  <Characters>5404</Characters>
  <Lines>43</Lines>
  <Paragraphs>12</Paragraphs>
  <TotalTime>8</TotalTime>
  <ScaleCrop>false</ScaleCrop>
  <LinksUpToDate>false</LinksUpToDate>
  <CharactersWithSpaces>5631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2024-06-18T01:18:00Z</dcterms:created>
  <dc:creator>黄伟航</dc:creator>
  <cp:lastModifiedBy>孟伶俊</cp:lastModifiedBy>
  <dcterms:modified xsi:type="dcterms:W3CDTF">2024-10-24T03:25:40Z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597F1E10473944CC988660DA0DC3589D_13</vt:lpwstr>
  </property>
</Properties>
</file>