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224" w:lineRule="auto"/>
        <w:ind w:firstLine="0" w:firstLineChars="0"/>
        <w:jc w:val="center"/>
        <w:outlineLvl w:val="0"/>
        <w:rPr>
          <w:b/>
          <w:bCs/>
          <w:sz w:val="30"/>
          <w:szCs w:val="30"/>
        </w:rPr>
      </w:pPr>
      <w:r>
        <w:rPr>
          <w:rFonts w:hint="eastAsia"/>
          <w:b/>
          <w:bCs/>
          <w:spacing w:val="9"/>
          <w:sz w:val="30"/>
          <w:szCs w:val="30"/>
        </w:rPr>
        <w:t>中山市中医院文化馆数字系统升级改造项目</w:t>
      </w:r>
      <w:bookmarkStart w:id="1" w:name="_GoBack"/>
      <w:bookmarkEnd w:id="1"/>
      <w:r>
        <w:rPr>
          <w:b/>
          <w:bCs/>
          <w:spacing w:val="9"/>
          <w:sz w:val="30"/>
          <w:szCs w:val="30"/>
        </w:rPr>
        <w:t>采购需</w:t>
      </w:r>
      <w:r>
        <w:rPr>
          <w:b/>
          <w:bCs/>
          <w:spacing w:val="8"/>
          <w:sz w:val="30"/>
          <w:szCs w:val="30"/>
        </w:rPr>
        <w:t>求</w:t>
      </w:r>
      <w:r>
        <w:rPr>
          <w:rFonts w:hint="eastAsia"/>
          <w:b/>
          <w:bCs/>
          <w:spacing w:val="8"/>
          <w:sz w:val="30"/>
          <w:szCs w:val="30"/>
        </w:rPr>
        <w:t>书</w:t>
      </w:r>
    </w:p>
    <w:p>
      <w:pPr>
        <w:ind w:firstLine="518"/>
        <w:rPr>
          <w:b/>
          <w:bCs/>
        </w:rPr>
      </w:pPr>
      <w:r>
        <w:rPr>
          <w:rFonts w:hint="eastAsia"/>
          <w:b/>
          <w:bCs/>
          <w:spacing w:val="9"/>
        </w:rPr>
        <w:t>一</w:t>
      </w:r>
      <w:r>
        <w:rPr>
          <w:rFonts w:hint="eastAsia"/>
          <w:b/>
          <w:bCs/>
        </w:rPr>
        <w:t>、项目概况</w:t>
      </w:r>
    </w:p>
    <w:p>
      <w:pPr>
        <w:ind w:firstLine="440"/>
        <w:rPr>
          <w:sz w:val="21"/>
          <w:szCs w:val="21"/>
        </w:rPr>
      </w:pPr>
      <w:r>
        <w:rPr>
          <w:spacing w:val="5"/>
          <w:sz w:val="21"/>
          <w:szCs w:val="21"/>
        </w:rPr>
        <w:t>1</w:t>
      </w:r>
      <w:r>
        <w:rPr>
          <w:rFonts w:hint="eastAsia"/>
          <w:spacing w:val="5"/>
          <w:sz w:val="21"/>
          <w:szCs w:val="21"/>
        </w:rPr>
        <w:t>、项目名称：中山市中医院文化馆数字系统升级改造项</w:t>
      </w:r>
      <w:r>
        <w:rPr>
          <w:rFonts w:hint="eastAsia"/>
          <w:spacing w:val="1"/>
          <w:sz w:val="21"/>
          <w:szCs w:val="21"/>
        </w:rPr>
        <w:t>目</w:t>
      </w:r>
    </w:p>
    <w:p>
      <w:pPr>
        <w:ind w:firstLine="456"/>
        <w:rPr>
          <w:spacing w:val="5"/>
          <w:sz w:val="21"/>
          <w:szCs w:val="21"/>
        </w:rPr>
      </w:pPr>
      <w:r>
        <w:rPr>
          <w:spacing w:val="9"/>
          <w:sz w:val="21"/>
          <w:szCs w:val="21"/>
        </w:rPr>
        <w:t>2</w:t>
      </w:r>
      <w:r>
        <w:rPr>
          <w:rFonts w:hint="eastAsia"/>
          <w:spacing w:val="9"/>
          <w:sz w:val="21"/>
          <w:szCs w:val="21"/>
        </w:rPr>
        <w:t>、</w:t>
      </w:r>
      <w:r>
        <w:rPr>
          <w:rFonts w:hint="eastAsia"/>
          <w:spacing w:val="9"/>
          <w:sz w:val="21"/>
          <w:szCs w:val="21"/>
          <w:lang w:val="en-US" w:eastAsia="zh-CN"/>
        </w:rPr>
        <w:t>项目</w:t>
      </w:r>
      <w:r>
        <w:rPr>
          <w:rFonts w:hint="eastAsia"/>
          <w:spacing w:val="5"/>
          <w:sz w:val="21"/>
          <w:szCs w:val="21"/>
        </w:rPr>
        <w:t>概况：</w:t>
      </w:r>
      <w:r>
        <w:rPr>
          <w:rFonts w:hint="eastAsia"/>
          <w:sz w:val="21"/>
          <w:szCs w:val="21"/>
        </w:rPr>
        <w:t>医院中医药文化馆原有数字系统及设备老化，故障频繁，需对原有设备进行更换，并对软件进行升级。</w:t>
      </w:r>
    </w:p>
    <w:p>
      <w:pPr>
        <w:ind w:firstLine="440"/>
        <w:rPr>
          <w:spacing w:val="5"/>
          <w:sz w:val="21"/>
          <w:szCs w:val="21"/>
        </w:rPr>
      </w:pPr>
      <w:r>
        <w:rPr>
          <w:spacing w:val="5"/>
          <w:sz w:val="21"/>
          <w:szCs w:val="21"/>
        </w:rPr>
        <w:t>3</w:t>
      </w:r>
      <w:r>
        <w:rPr>
          <w:rFonts w:hint="eastAsia"/>
          <w:spacing w:val="5"/>
          <w:sz w:val="21"/>
          <w:szCs w:val="21"/>
        </w:rPr>
        <w:t>、预算金额：</w:t>
      </w:r>
      <w:r>
        <w:rPr>
          <w:spacing w:val="5"/>
          <w:sz w:val="21"/>
          <w:szCs w:val="21"/>
        </w:rPr>
        <w:t>370000</w:t>
      </w:r>
      <w:r>
        <w:rPr>
          <w:rFonts w:hint="eastAsia"/>
          <w:spacing w:val="5"/>
          <w:sz w:val="21"/>
          <w:szCs w:val="21"/>
        </w:rPr>
        <w:t>元</w:t>
      </w:r>
    </w:p>
    <w:p>
      <w:pPr>
        <w:ind w:firstLine="440"/>
        <w:rPr>
          <w:spacing w:val="4"/>
          <w:sz w:val="21"/>
          <w:szCs w:val="21"/>
        </w:rPr>
      </w:pPr>
      <w:r>
        <w:rPr>
          <w:rFonts w:hint="eastAsia"/>
          <w:spacing w:val="5"/>
          <w:sz w:val="21"/>
          <w:szCs w:val="21"/>
        </w:rPr>
        <w:t>4、报价说明：</w:t>
      </w:r>
      <w:r>
        <w:rPr>
          <w:rFonts w:hint="eastAsia"/>
          <w:spacing w:val="8"/>
          <w:sz w:val="21"/>
          <w:szCs w:val="21"/>
        </w:rPr>
        <w:t>报</w:t>
      </w:r>
      <w:r>
        <w:rPr>
          <w:rFonts w:hint="eastAsia"/>
          <w:spacing w:val="6"/>
          <w:sz w:val="21"/>
          <w:szCs w:val="21"/>
        </w:rPr>
        <w:t>价</w:t>
      </w:r>
      <w:r>
        <w:rPr>
          <w:rFonts w:hint="eastAsia"/>
          <w:spacing w:val="4"/>
          <w:sz w:val="21"/>
          <w:szCs w:val="21"/>
        </w:rPr>
        <w:t>应包括货物、人工、安装调试、系统集成、人员培训、验收、</w:t>
      </w:r>
      <w:r>
        <w:rPr>
          <w:rFonts w:hint="eastAsia"/>
          <w:spacing w:val="5"/>
          <w:sz w:val="21"/>
          <w:szCs w:val="21"/>
        </w:rPr>
        <w:t>售后服务、质保期及项目实施过程中的不可预见费用等全部含税费用。</w:t>
      </w:r>
    </w:p>
    <w:p>
      <w:pPr>
        <w:ind w:firstLine="412"/>
        <w:rPr>
          <w:rFonts w:hint="eastAsia"/>
          <w:spacing w:val="4"/>
          <w:sz w:val="21"/>
          <w:szCs w:val="21"/>
        </w:rPr>
      </w:pPr>
      <w:r>
        <w:rPr>
          <w:rFonts w:hint="eastAsia"/>
          <w:spacing w:val="-2"/>
          <w:sz w:val="21"/>
          <w:szCs w:val="21"/>
        </w:rPr>
        <w:t>5、</w:t>
      </w:r>
      <w:r>
        <w:rPr>
          <w:rFonts w:hint="eastAsia"/>
          <w:spacing w:val="8"/>
          <w:sz w:val="21"/>
          <w:szCs w:val="21"/>
        </w:rPr>
        <w:t>项目工期：</w:t>
      </w:r>
      <w:r>
        <w:rPr>
          <w:rFonts w:hint="eastAsia"/>
          <w:spacing w:val="4"/>
          <w:sz w:val="21"/>
          <w:szCs w:val="21"/>
        </w:rPr>
        <w:t>合同签订后在</w:t>
      </w:r>
      <w:r>
        <w:rPr>
          <w:spacing w:val="4"/>
          <w:sz w:val="21"/>
          <w:szCs w:val="21"/>
        </w:rPr>
        <w:t>15</w:t>
      </w:r>
      <w:r>
        <w:rPr>
          <w:rFonts w:hint="eastAsia"/>
          <w:spacing w:val="4"/>
          <w:sz w:val="21"/>
          <w:szCs w:val="21"/>
        </w:rPr>
        <w:t>个自然日内完成供货、安装、测试、培训、验收等工作。</w:t>
      </w:r>
    </w:p>
    <w:p>
      <w:pPr>
        <w:ind w:firstLine="482"/>
        <w:rPr>
          <w:b/>
          <w:bCs/>
        </w:rPr>
      </w:pPr>
      <w:r>
        <w:rPr>
          <w:rFonts w:hint="eastAsia"/>
          <w:b/>
          <w:bCs/>
        </w:rPr>
        <w:t>二、项目内容</w:t>
      </w:r>
    </w:p>
    <w:p>
      <w:pPr>
        <w:ind w:firstLine="420"/>
        <w:rPr>
          <w:rFonts w:hint="eastAsia"/>
          <w:sz w:val="21"/>
          <w:szCs w:val="21"/>
        </w:rPr>
      </w:pPr>
      <w:r>
        <w:rPr>
          <w:rFonts w:hint="eastAsia"/>
          <w:sz w:val="21"/>
          <w:szCs w:val="21"/>
        </w:rPr>
        <w:t>1、设备采购更新、安装调试。</w:t>
      </w:r>
    </w:p>
    <w:p>
      <w:pPr>
        <w:ind w:firstLine="420"/>
        <w:rPr>
          <w:rFonts w:hint="eastAsia"/>
          <w:sz w:val="21"/>
          <w:szCs w:val="21"/>
        </w:rPr>
      </w:pPr>
      <w:r>
        <w:rPr>
          <w:rFonts w:hint="eastAsia"/>
          <w:sz w:val="21"/>
          <w:szCs w:val="21"/>
        </w:rPr>
        <w:t>2、对原有中医药数字馆互动软件系统的升级改造。</w:t>
      </w:r>
    </w:p>
    <w:p>
      <w:pPr>
        <w:ind w:firstLine="482"/>
        <w:rPr>
          <w:b/>
          <w:bCs/>
        </w:rPr>
      </w:pPr>
      <w:r>
        <w:rPr>
          <w:rFonts w:hint="eastAsia"/>
          <w:b/>
          <w:bCs/>
        </w:rPr>
        <w:t>三、采购清单</w:t>
      </w:r>
    </w:p>
    <w:tbl>
      <w:tblPr>
        <w:tblStyle w:val="17"/>
        <w:tblW w:w="8778" w:type="dxa"/>
        <w:jc w:val="center"/>
        <w:tblLayout w:type="autofit"/>
        <w:tblCellMar>
          <w:top w:w="15" w:type="dxa"/>
          <w:left w:w="15" w:type="dxa"/>
          <w:bottom w:w="15" w:type="dxa"/>
          <w:right w:w="15" w:type="dxa"/>
        </w:tblCellMar>
      </w:tblPr>
      <w:tblGrid>
        <w:gridCol w:w="630"/>
        <w:gridCol w:w="2414"/>
        <w:gridCol w:w="4277"/>
        <w:gridCol w:w="748"/>
        <w:gridCol w:w="709"/>
      </w:tblGrid>
      <w:tr>
        <w:tblPrEx>
          <w:tblCellMar>
            <w:top w:w="15" w:type="dxa"/>
            <w:left w:w="15" w:type="dxa"/>
            <w:bottom w:w="15" w:type="dxa"/>
            <w:right w:w="15" w:type="dxa"/>
          </w:tblCellMar>
        </w:tblPrEx>
        <w:trPr>
          <w:trHeight w:val="4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40" w:lineRule="auto"/>
              <w:ind w:firstLine="0" w:firstLineChars="0"/>
              <w:jc w:val="center"/>
              <w:rPr>
                <w:rFonts w:asciiTheme="minorEastAsia" w:hAnsiTheme="minorEastAsia" w:eastAsiaTheme="minorEastAsia"/>
                <w:b/>
                <w:bCs/>
                <w:color w:val="000000"/>
                <w:sz w:val="21"/>
                <w:szCs w:val="21"/>
              </w:rPr>
            </w:pPr>
            <w:bookmarkStart w:id="0" w:name="_Toc113992179"/>
            <w:r>
              <w:rPr>
                <w:rFonts w:hint="eastAsia" w:asciiTheme="minorEastAsia" w:hAnsiTheme="minorEastAsia" w:eastAsiaTheme="minorEastAsia"/>
                <w:b/>
                <w:bCs/>
                <w:color w:val="000000"/>
                <w:sz w:val="21"/>
                <w:szCs w:val="21"/>
              </w:rPr>
              <w:t>序号</w:t>
            </w:r>
          </w:p>
        </w:tc>
        <w:tc>
          <w:tcPr>
            <w:tcW w:w="2414"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名称</w:t>
            </w:r>
          </w:p>
        </w:tc>
        <w:tc>
          <w:tcPr>
            <w:tcW w:w="4277"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40" w:lineRule="auto"/>
              <w:ind w:firstLine="0" w:firstLineChars="0"/>
              <w:jc w:val="center"/>
              <w:rPr>
                <w:rFonts w:hint="eastAsia"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技术参数</w:t>
            </w:r>
          </w:p>
        </w:tc>
        <w:tc>
          <w:tcPr>
            <w:tcW w:w="748"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40" w:lineRule="auto"/>
              <w:ind w:firstLine="0" w:firstLineChars="0"/>
              <w:jc w:val="center"/>
              <w:rPr>
                <w:rFonts w:hint="eastAsia"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240" w:lineRule="auto"/>
              <w:ind w:firstLine="0" w:firstLineChars="0"/>
              <w:jc w:val="center"/>
              <w:rPr>
                <w:rFonts w:hint="eastAsia"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数量</w:t>
            </w:r>
          </w:p>
        </w:tc>
      </w:tr>
      <w:tr>
        <w:tblPrEx>
          <w:tblCellMar>
            <w:top w:w="15" w:type="dxa"/>
            <w:left w:w="15" w:type="dxa"/>
            <w:bottom w:w="15" w:type="dxa"/>
            <w:right w:w="15" w:type="dxa"/>
          </w:tblCellMar>
        </w:tblPrEx>
        <w:trPr>
          <w:trHeight w:val="268"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导览系统升级</w:t>
            </w:r>
          </w:p>
        </w:tc>
        <w:tc>
          <w:tcPr>
            <w:tcW w:w="427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1、对原Windows7系统上运行的flash软件，重新开发匹配Window10系统下的unity应用程序互动软件；</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2、新开发文件可以保留工程文件，并需移交给采购人，便于后续内容的持续更新得以有源文件支持；</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614"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中医四诊与辩证智慧系统升级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诊病记系统升级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方药记系统升级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神奇的针灸之术系统升级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肿瘤君游戏系统升级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7</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小林林抓药记系统升级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5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串药煲药、中药煎服</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心脏血栓游戏系统升级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中药炮制系统升级</w:t>
            </w:r>
          </w:p>
        </w:tc>
        <w:tc>
          <w:tcPr>
            <w:tcW w:w="427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1、开发数字化管理平台适配文化宫多媒体管理系统，适配于视频、图片的节目活动管理数控播放，集成中控协议接口，支持TCP(3011)、IDP(3012)、串口(RS232)均可连接服务器实现播放控制；</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2、新的数控管理平台可以自行编译或者中控联动控制，后期交付会图文及视频教程交付资料；</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3、对授权展项永久开放，后期功能升级也可以持续升级；</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小杏杏智慧系统升级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小林林系统升级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13</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人体经络系统升级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14</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子午流柱系统升级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15</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人体穴位系统升级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16</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针法之道系统升级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17</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炙法之道系统升级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虚拟针灸系统升级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19</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中医特色方法系统升级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20</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养生锦囊系统升级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21</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中西医结合系统升级</w:t>
            </w:r>
          </w:p>
        </w:tc>
        <w:tc>
          <w:tcPr>
            <w:tcW w:w="427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eastAsiaTheme="minorEastAsia"/>
                <w:color w:val="000000"/>
                <w:sz w:val="21"/>
                <w:szCs w:val="21"/>
              </w:rPr>
            </w:pP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975"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22</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55寸电视机</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1、最大分辨率：≥1920*1080</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2、亮度(nits)：≥300 cd/m                        3、支持有信号唤醒，无信号待机</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p>
        </w:tc>
      </w:tr>
      <w:tr>
        <w:tblPrEx>
          <w:tblCellMar>
            <w:top w:w="15" w:type="dxa"/>
            <w:left w:w="15" w:type="dxa"/>
            <w:bottom w:w="15" w:type="dxa"/>
            <w:right w:w="15" w:type="dxa"/>
          </w:tblCellMar>
        </w:tblPrEx>
        <w:trPr>
          <w:trHeight w:val="192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23</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43寸透明屏</w:t>
            </w:r>
          </w:p>
        </w:tc>
        <w:tc>
          <w:tcPr>
            <w:tcW w:w="427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1、分辨率：≥1920*1080   </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2、触摸技术：红外触摸，10点触摸控制</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3、主机：CPU I7/第8代，Windows10系统, 主板支持网络唤醒；</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xml:space="preserve">4、内存：≥DDR4/8G； </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5、固定硬盘：≥240G，包括三个分区或以上，C盘不少于100，D/E盘不少于60G；</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6、外引开关线；</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CellMar>
            <w:top w:w="15" w:type="dxa"/>
            <w:left w:w="15" w:type="dxa"/>
            <w:bottom w:w="15" w:type="dxa"/>
            <w:right w:w="15" w:type="dxa"/>
          </w:tblCellMar>
        </w:tblPrEx>
        <w:trPr>
          <w:trHeight w:val="2175"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24</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拼接屏</w:t>
            </w:r>
          </w:p>
        </w:tc>
        <w:tc>
          <w:tcPr>
            <w:tcW w:w="427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hint="eastAsia" w:asciiTheme="minorEastAsia" w:hAnsiTheme="minorEastAsia" w:eastAsiaTheme="minorEastAsia"/>
                <w:color w:val="000000"/>
                <w:sz w:val="21"/>
                <w:szCs w:val="21"/>
              </w:rPr>
            </w:pPr>
            <w:r>
              <w:rPr>
                <w:rFonts w:asciiTheme="minorEastAsia" w:hAnsiTheme="minorEastAsia" w:eastAsiaTheme="minorEastAsia"/>
                <w:color w:val="000000"/>
                <w:sz w:val="21"/>
                <w:szCs w:val="21"/>
              </w:rPr>
              <w:t>1、尺寸：46 英寸×2</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2、分辨率：≥1920×1080</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3、物理拼缝：3.5mm(双边)</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4、触摸技术：红外触摸，10点触摸控制</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5、主机：CPU I5/第12代，Windows10系统, 主板支持网络唤醒；</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 xml:space="preserve">6、内存：≥DDR4/16G； </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7、显卡：≥1050ti</w:t>
            </w:r>
            <w:r>
              <w:rPr>
                <w:rFonts w:hint="eastAsia" w:asciiTheme="minorEastAsia" w:hAnsiTheme="minorEastAsia" w:eastAsiaTheme="minorEastAsia"/>
                <w:color w:val="000000"/>
                <w:sz w:val="21"/>
                <w:szCs w:val="21"/>
              </w:rPr>
              <w:br w:type="textWrapping"/>
            </w:r>
            <w:r>
              <w:rPr>
                <w:rFonts w:asciiTheme="minorEastAsia" w:hAnsiTheme="minorEastAsia" w:eastAsiaTheme="minorEastAsia"/>
                <w:color w:val="000000"/>
                <w:sz w:val="21"/>
                <w:szCs w:val="21"/>
              </w:rPr>
              <w:t>8、固定硬盘：≥240G</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198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25</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互动VR</w:t>
            </w:r>
          </w:p>
        </w:tc>
        <w:tc>
          <w:tcPr>
            <w:tcW w:w="427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1、屏幕：2个3.5英寸AMOLED</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xml:space="preserve">2、单眼分辨率：1440x1600                            </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3、刷新率：90 Hz</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4、视场角：110 度</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5、连接口：蓝牙、USB-C3.0</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6、传感器：SteamVR追踪技术gyroscope陀螺仪、proximity距离感测器G-sensor校正、双眼舒适度设置(IPD)</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w:t>
            </w:r>
          </w:p>
        </w:tc>
      </w:tr>
      <w:tr>
        <w:tblPrEx>
          <w:tblCellMar>
            <w:top w:w="15" w:type="dxa"/>
            <w:left w:w="15" w:type="dxa"/>
            <w:bottom w:w="15" w:type="dxa"/>
            <w:right w:w="15" w:type="dxa"/>
          </w:tblCellMar>
        </w:tblPrEx>
        <w:trPr>
          <w:trHeight w:val="132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26</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网关</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1、机架式10口2000MVPN路由器EG310G-E，固化10个千兆电口，推荐带终端数300台；</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2、支持设备内进行叠加测速，自动端口聚合；</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3、内置AC功能，支持应用流控、应用阻断；</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4、支持睿易MACC云平台与睿易APP管理；</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135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27</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POE交换机</w:t>
            </w:r>
          </w:p>
        </w:tc>
        <w:tc>
          <w:tcPr>
            <w:tcW w:w="4277" w:type="dxa"/>
            <w:tcBorders>
              <w:top w:val="single" w:color="000000" w:sz="4" w:space="0"/>
              <w:left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1、16个10/100/1000Mbps电口（支持PoE/PoE+）</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2、整机POE最大输出功率240W</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3、支持端口状态显示、端口流量统计、PoE端口输出功率状态、端口双工/协商速率配置、流控配置、PoE输出开关，支持广播风暴抑制、端口限速、端口隔离</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r>
        <w:tblPrEx>
          <w:tblCellMar>
            <w:top w:w="15" w:type="dxa"/>
            <w:left w:w="15" w:type="dxa"/>
            <w:bottom w:w="15" w:type="dxa"/>
            <w:right w:w="15" w:type="dxa"/>
          </w:tblCellMar>
        </w:tblPrEx>
        <w:trPr>
          <w:trHeight w:val="111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28</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接入交换机</w:t>
            </w:r>
          </w:p>
        </w:tc>
        <w:tc>
          <w:tcPr>
            <w:tcW w:w="4277" w:type="dxa"/>
            <w:tcBorders>
              <w:top w:val="single" w:color="000000" w:sz="4" w:space="0"/>
              <w:left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1、二层网管交换机，交换容量336Gbps，包转发率42Mpps；</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2、24口10/100/1000Mbps自适应电口交换机能；</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3、支持睿易APP和MACC云平台统一管理。</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CellMar>
            <w:top w:w="15" w:type="dxa"/>
            <w:left w:w="15" w:type="dxa"/>
            <w:bottom w:w="15" w:type="dxa"/>
            <w:right w:w="15" w:type="dxa"/>
          </w:tblCellMar>
        </w:tblPrEx>
        <w:trPr>
          <w:trHeight w:val="156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29</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吸顶AP</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1、2976M双频千兆吸顶AP；</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2、端口1个千兆LAN口上联；</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3、内置天线，支持2.4GHz/5GHz双频通信，支持802.11a/b/g/n/ac Wave1/Wave2/ax协议；</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4、支持睿易一体化组网，支持“睿易”APP管理；</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5、支持802.3at PoE供电</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台</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w:t>
            </w:r>
          </w:p>
        </w:tc>
      </w:tr>
      <w:tr>
        <w:tblPrEx>
          <w:tblCellMar>
            <w:top w:w="15" w:type="dxa"/>
            <w:left w:w="15" w:type="dxa"/>
            <w:bottom w:w="15" w:type="dxa"/>
            <w:right w:w="15" w:type="dxa"/>
          </w:tblCellMar>
        </w:tblPrEx>
        <w:trPr>
          <w:trHeight w:val="11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30</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2.0吸顶音响系统</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1、额定输入功率（RMS）120 W </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2、单元结构 低通：1 x 8”  锥盆扬声器</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 xml:space="preserve">   高通：1 x 2.5mm    振膜压缩驱动器</w:t>
            </w:r>
            <w:r>
              <w:rPr>
                <w:rFonts w:hint="eastAsia" w:asciiTheme="minorEastAsia" w:hAnsiTheme="minorEastAsia" w:eastAsiaTheme="minorEastAsia"/>
                <w:color w:val="000000"/>
                <w:sz w:val="21"/>
                <w:szCs w:val="21"/>
              </w:rPr>
              <w:br w:type="textWrapping"/>
            </w:r>
            <w:r>
              <w:rPr>
                <w:rFonts w:hint="eastAsia" w:asciiTheme="minorEastAsia" w:hAnsiTheme="minorEastAsia" w:eastAsiaTheme="minorEastAsia"/>
                <w:color w:val="000000"/>
                <w:sz w:val="21"/>
                <w:szCs w:val="21"/>
              </w:rPr>
              <w:t>3、输出功率： 300×2 （8Ω）</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31</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电源时序器</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8路电源时序管理器</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套</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32</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网线、</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CAT5E</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米</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3500</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33</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音响线</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100芯双芯纯铜线材</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米</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365</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34</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线管、线槽</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镀锌线槽、PVC线管</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米</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100</w:t>
            </w:r>
          </w:p>
        </w:tc>
      </w:tr>
      <w:tr>
        <w:tblPrEx>
          <w:tblCellMar>
            <w:top w:w="15" w:type="dxa"/>
            <w:left w:w="15" w:type="dxa"/>
            <w:bottom w:w="15" w:type="dxa"/>
            <w:right w:w="15" w:type="dxa"/>
          </w:tblCellMar>
        </w:tblPrEx>
        <w:trPr>
          <w:trHeight w:val="39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35</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视频线材</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HDMI光纤线</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条</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r>
      <w:tr>
        <w:tblPrEx>
          <w:tblCellMar>
            <w:top w:w="15" w:type="dxa"/>
            <w:left w:w="15" w:type="dxa"/>
            <w:bottom w:w="15" w:type="dxa"/>
            <w:right w:w="15"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36</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安装调试</w:t>
            </w:r>
          </w:p>
        </w:tc>
        <w:tc>
          <w:tcPr>
            <w:tcW w:w="427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修复所有展项通讯、恢复中控对应播控软件，修复互动软件，联动中控进行修复调试等</w:t>
            </w:r>
          </w:p>
        </w:tc>
        <w:tc>
          <w:tcPr>
            <w:tcW w:w="7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项</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w:t>
            </w:r>
          </w:p>
        </w:tc>
      </w:tr>
    </w:tbl>
    <w:p>
      <w:pPr>
        <w:ind w:firstLine="420"/>
        <w:rPr>
          <w:sz w:val="21"/>
          <w:szCs w:val="21"/>
        </w:rPr>
      </w:pPr>
    </w:p>
    <w:bookmarkEnd w:id="0"/>
    <w:p>
      <w:pPr>
        <w:ind w:firstLine="482"/>
        <w:rPr>
          <w:b/>
          <w:bCs/>
        </w:rPr>
      </w:pPr>
      <w:r>
        <w:rPr>
          <w:rFonts w:hint="eastAsia"/>
          <w:b/>
          <w:bCs/>
        </w:rPr>
        <w:t>四、质量要求</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1、供应商提供的货物质量必须符合国家相关标准、行业标准及项目要求</w:t>
      </w:r>
      <w:r>
        <w:rPr>
          <w:rFonts w:asciiTheme="minorEastAsia" w:hAnsiTheme="minorEastAsia" w:eastAsiaTheme="minorEastAsia"/>
          <w:color w:val="000000"/>
          <w:sz w:val="21"/>
          <w:szCs w:val="21"/>
        </w:rPr>
        <w:t>。</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2、供应商</w:t>
      </w:r>
      <w:r>
        <w:rPr>
          <w:rFonts w:asciiTheme="minorEastAsia" w:hAnsiTheme="minorEastAsia" w:eastAsiaTheme="minorEastAsia"/>
          <w:color w:val="000000"/>
          <w:sz w:val="21"/>
          <w:szCs w:val="21"/>
        </w:rPr>
        <w:t>提供的</w:t>
      </w:r>
      <w:r>
        <w:rPr>
          <w:rFonts w:hint="eastAsia" w:asciiTheme="minorEastAsia" w:hAnsiTheme="minorEastAsia" w:eastAsiaTheme="minorEastAsia"/>
          <w:color w:val="000000"/>
          <w:sz w:val="21"/>
          <w:szCs w:val="21"/>
        </w:rPr>
        <w:t>货物</w:t>
      </w:r>
      <w:r>
        <w:rPr>
          <w:rFonts w:asciiTheme="minorEastAsia" w:hAnsiTheme="minorEastAsia" w:eastAsiaTheme="minorEastAsia"/>
          <w:color w:val="000000"/>
          <w:sz w:val="21"/>
          <w:szCs w:val="21"/>
        </w:rPr>
        <w:t>为</w:t>
      </w:r>
      <w:r>
        <w:rPr>
          <w:rFonts w:hint="eastAsia" w:asciiTheme="minorEastAsia" w:hAnsiTheme="minorEastAsia" w:eastAsiaTheme="minorEastAsia"/>
          <w:color w:val="000000"/>
          <w:sz w:val="21"/>
          <w:szCs w:val="21"/>
        </w:rPr>
        <w:t>厂家原装正品、全新</w:t>
      </w:r>
      <w:r>
        <w:rPr>
          <w:rFonts w:asciiTheme="minorEastAsia" w:hAnsiTheme="minorEastAsia" w:eastAsiaTheme="minorEastAsia"/>
          <w:color w:val="000000"/>
          <w:sz w:val="21"/>
          <w:szCs w:val="21"/>
        </w:rPr>
        <w:t>产品，</w:t>
      </w:r>
      <w:r>
        <w:rPr>
          <w:rFonts w:hint="eastAsia" w:asciiTheme="minorEastAsia" w:hAnsiTheme="minorEastAsia" w:eastAsiaTheme="minorEastAsia"/>
          <w:color w:val="000000"/>
          <w:sz w:val="21"/>
          <w:szCs w:val="21"/>
        </w:rPr>
        <w:t>无侵权行为、表面无划损、无任何缺陷隐患，在中国境内可安全合法使用。</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4、供应商对由于设计工艺或材料的缺陷所发生的任何故障负责，所需费用由供应商承担。</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5、货物如在拆封使用时发现有质量问题，成交供应商应给予退货或更换。</w:t>
      </w:r>
    </w:p>
    <w:p>
      <w:pPr>
        <w:ind w:firstLine="482"/>
        <w:rPr>
          <w:b/>
          <w:bCs/>
        </w:rPr>
      </w:pPr>
      <w:r>
        <w:rPr>
          <w:rFonts w:hint="eastAsia"/>
          <w:b/>
          <w:bCs/>
        </w:rPr>
        <w:t>五、服务要求</w:t>
      </w:r>
    </w:p>
    <w:p>
      <w:pPr>
        <w:ind w:firstLine="42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w:t>
      </w:r>
      <w:r>
        <w:rPr>
          <w:rFonts w:hint="eastAsia" w:asciiTheme="minorEastAsia" w:hAnsiTheme="minorEastAsia" w:eastAsiaTheme="minorEastAsia"/>
          <w:color w:val="000000"/>
          <w:sz w:val="21"/>
          <w:szCs w:val="21"/>
        </w:rPr>
        <w:t>、产品质保期、运维支持、软件升级不少于</w:t>
      </w:r>
      <w:r>
        <w:rPr>
          <w:rFonts w:hint="eastAsia" w:asciiTheme="minorEastAsia" w:hAnsiTheme="minorEastAsia" w:eastAsiaTheme="minorEastAsia"/>
          <w:sz w:val="21"/>
          <w:szCs w:val="21"/>
        </w:rPr>
        <w:t>三</w:t>
      </w:r>
      <w:r>
        <w:rPr>
          <w:rFonts w:hint="eastAsia" w:asciiTheme="minorEastAsia" w:hAnsiTheme="minorEastAsia" w:eastAsiaTheme="minorEastAsia"/>
          <w:color w:val="000000"/>
          <w:sz w:val="21"/>
          <w:szCs w:val="21"/>
        </w:rPr>
        <w:t>年，若国家或生产厂家对该设备质量保证期的规定高于本项目要求，则按国家或生产厂家的规定执行。</w:t>
      </w:r>
    </w:p>
    <w:p>
      <w:pPr>
        <w:ind w:firstLine="42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、质保期内供应商提供“包退、包换、包修”的质量“三包”服务，一切维修费用、备品备件费用均由供应商免费提供。</w:t>
      </w:r>
    </w:p>
    <w:p>
      <w:pPr>
        <w:ind w:firstLine="42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、售后服务响应时间：</w:t>
      </w:r>
      <w:r>
        <w:rPr>
          <w:rFonts w:asciiTheme="minorEastAsia" w:hAnsiTheme="minorEastAsia" w:eastAsiaTheme="minorEastAsia"/>
          <w:color w:val="000000"/>
          <w:sz w:val="21"/>
          <w:szCs w:val="21"/>
        </w:rPr>
        <w:t>供应商应提供</w:t>
      </w:r>
      <w:r>
        <w:rPr>
          <w:rFonts w:hint="eastAsia" w:asciiTheme="minorEastAsia" w:hAnsiTheme="minorEastAsia" w:eastAsiaTheme="minorEastAsia"/>
          <w:color w:val="000000"/>
          <w:sz w:val="21"/>
          <w:szCs w:val="21"/>
        </w:rPr>
        <w:t>7*</w:t>
      </w:r>
      <w:r>
        <w:rPr>
          <w:rFonts w:asciiTheme="minorEastAsia" w:hAnsiTheme="minorEastAsia" w:eastAsiaTheme="minorEastAsia"/>
          <w:color w:val="000000"/>
          <w:sz w:val="21"/>
          <w:szCs w:val="21"/>
        </w:rPr>
        <w:t>8</w:t>
      </w:r>
      <w:r>
        <w:rPr>
          <w:rFonts w:hint="eastAsia" w:asciiTheme="minorEastAsia" w:hAnsiTheme="minorEastAsia" w:eastAsiaTheme="minorEastAsia"/>
          <w:color w:val="000000"/>
          <w:sz w:val="21"/>
          <w:szCs w:val="21"/>
        </w:rPr>
        <w:t>小时</w:t>
      </w:r>
      <w:r>
        <w:rPr>
          <w:rFonts w:asciiTheme="minorEastAsia" w:hAnsiTheme="minorEastAsia" w:eastAsiaTheme="minorEastAsia"/>
          <w:color w:val="000000"/>
          <w:sz w:val="21"/>
          <w:szCs w:val="21"/>
        </w:rPr>
        <w:t>的技术咨询和故障受理服务，在</w:t>
      </w:r>
      <w:r>
        <w:rPr>
          <w:rFonts w:hint="eastAsia" w:asciiTheme="minorEastAsia" w:hAnsiTheme="minorEastAsia" w:eastAsiaTheme="minorEastAsia"/>
          <w:color w:val="000000"/>
          <w:sz w:val="21"/>
          <w:szCs w:val="21"/>
        </w:rPr>
        <w:t>质保</w:t>
      </w:r>
      <w:r>
        <w:rPr>
          <w:rFonts w:asciiTheme="minorEastAsia" w:hAnsiTheme="minorEastAsia" w:eastAsiaTheme="minorEastAsia"/>
          <w:color w:val="000000"/>
          <w:sz w:val="21"/>
          <w:szCs w:val="21"/>
        </w:rPr>
        <w:t>期内，供应商响应时间</w:t>
      </w:r>
      <w:r>
        <w:rPr>
          <w:rFonts w:hint="eastAsia" w:asciiTheme="minorEastAsia" w:hAnsiTheme="minorEastAsia" w:eastAsiaTheme="minorEastAsia"/>
          <w:color w:val="000000"/>
          <w:sz w:val="21"/>
          <w:szCs w:val="21"/>
        </w:rPr>
        <w:t>为30分</w:t>
      </w:r>
      <w:r>
        <w:rPr>
          <w:rFonts w:asciiTheme="minorEastAsia" w:hAnsiTheme="minorEastAsia" w:eastAsiaTheme="minorEastAsia"/>
          <w:color w:val="000000"/>
          <w:sz w:val="21"/>
          <w:szCs w:val="21"/>
        </w:rPr>
        <w:t>钟</w:t>
      </w:r>
      <w:r>
        <w:rPr>
          <w:rFonts w:hint="eastAsia" w:asciiTheme="minorEastAsia" w:hAnsiTheme="minorEastAsia" w:eastAsiaTheme="minorEastAsia"/>
          <w:color w:val="000000"/>
          <w:sz w:val="21"/>
          <w:szCs w:val="21"/>
        </w:rPr>
        <w:t>内</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若确需</w:t>
      </w:r>
      <w:r>
        <w:rPr>
          <w:rFonts w:asciiTheme="minorEastAsia" w:hAnsiTheme="minorEastAsia" w:eastAsiaTheme="minorEastAsia"/>
          <w:color w:val="000000"/>
          <w:sz w:val="21"/>
          <w:szCs w:val="21"/>
        </w:rPr>
        <w:t>到达现场</w:t>
      </w:r>
      <w:r>
        <w:rPr>
          <w:rFonts w:hint="eastAsia" w:asciiTheme="minorEastAsia" w:hAnsiTheme="minorEastAsia" w:eastAsiaTheme="minorEastAsia"/>
          <w:color w:val="000000"/>
          <w:sz w:val="21"/>
          <w:szCs w:val="21"/>
        </w:rPr>
        <w:t>处理的，到达现场</w:t>
      </w:r>
      <w:r>
        <w:rPr>
          <w:rFonts w:asciiTheme="minorEastAsia" w:hAnsiTheme="minorEastAsia" w:eastAsiaTheme="minorEastAsia"/>
          <w:color w:val="000000"/>
          <w:sz w:val="21"/>
          <w:szCs w:val="21"/>
        </w:rPr>
        <w:t>时间为24</w:t>
      </w:r>
      <w:r>
        <w:rPr>
          <w:rFonts w:hint="eastAsia" w:asciiTheme="minorEastAsia" w:hAnsiTheme="minorEastAsia" w:eastAsiaTheme="minorEastAsia"/>
          <w:color w:val="000000"/>
          <w:sz w:val="21"/>
          <w:szCs w:val="21"/>
        </w:rPr>
        <w:t>小时内。</w:t>
      </w:r>
    </w:p>
    <w:p>
      <w:pPr>
        <w:ind w:firstLine="420"/>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文明施工，</w:t>
      </w:r>
      <w:r>
        <w:rPr>
          <w:rFonts w:hint="eastAsia" w:asciiTheme="minorEastAsia" w:hAnsiTheme="minorEastAsia" w:eastAsiaTheme="minorEastAsia"/>
          <w:color w:val="000000"/>
          <w:sz w:val="21"/>
          <w:szCs w:val="21"/>
        </w:rPr>
        <w:t>安装</w:t>
      </w:r>
      <w:r>
        <w:rPr>
          <w:rFonts w:asciiTheme="minorEastAsia" w:hAnsiTheme="minorEastAsia" w:eastAsiaTheme="minorEastAsia"/>
          <w:color w:val="000000"/>
          <w:sz w:val="21"/>
          <w:szCs w:val="21"/>
        </w:rPr>
        <w:t>现场应严格遵守现场管理制度，服从主管部门的管理，减少不必要的噪音</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以免</w:t>
      </w:r>
      <w:r>
        <w:rPr>
          <w:rFonts w:hint="eastAsia" w:asciiTheme="minorEastAsia" w:hAnsiTheme="minorEastAsia" w:eastAsiaTheme="minorEastAsia"/>
          <w:color w:val="000000"/>
          <w:sz w:val="21"/>
          <w:szCs w:val="21"/>
        </w:rPr>
        <w:t>对临床科室造成影响</w:t>
      </w:r>
      <w:r>
        <w:rPr>
          <w:rFonts w:asciiTheme="minorEastAsia" w:hAnsiTheme="minorEastAsia" w:eastAsiaTheme="minorEastAsia"/>
          <w:color w:val="000000"/>
          <w:sz w:val="21"/>
          <w:szCs w:val="21"/>
        </w:rPr>
        <w:t>。</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5、安装</w:t>
      </w:r>
      <w:r>
        <w:rPr>
          <w:rFonts w:asciiTheme="minorEastAsia" w:hAnsiTheme="minorEastAsia" w:eastAsiaTheme="minorEastAsia"/>
          <w:color w:val="000000"/>
          <w:sz w:val="21"/>
          <w:szCs w:val="21"/>
        </w:rPr>
        <w:t>期间注意用电安全，操作规范，保障自己与他人的生命财产安全</w:t>
      </w:r>
      <w:r>
        <w:rPr>
          <w:rFonts w:hint="eastAsia" w:asciiTheme="minorEastAsia" w:hAnsiTheme="minorEastAsia" w:eastAsiaTheme="minorEastAsia"/>
          <w:color w:val="000000"/>
          <w:sz w:val="21"/>
          <w:szCs w:val="21"/>
        </w:rPr>
        <w:t>，安装期间，由于供应商问题造成的事故，一切责任由供应商负责。</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6、安装</w:t>
      </w:r>
      <w:r>
        <w:rPr>
          <w:rFonts w:asciiTheme="minorEastAsia" w:hAnsiTheme="minorEastAsia" w:eastAsiaTheme="minorEastAsia"/>
          <w:color w:val="000000"/>
          <w:sz w:val="21"/>
          <w:szCs w:val="21"/>
        </w:rPr>
        <w:t>期间应注意原有设备设施的保护，一旦造成损坏，</w:t>
      </w:r>
      <w:r>
        <w:rPr>
          <w:rFonts w:hint="eastAsia" w:asciiTheme="minorEastAsia" w:hAnsiTheme="minorEastAsia" w:eastAsiaTheme="minorEastAsia"/>
          <w:color w:val="000000"/>
          <w:sz w:val="21"/>
          <w:szCs w:val="21"/>
        </w:rPr>
        <w:t>成交供应商</w:t>
      </w:r>
      <w:r>
        <w:rPr>
          <w:rFonts w:asciiTheme="minorEastAsia" w:hAnsiTheme="minorEastAsia" w:eastAsiaTheme="minorEastAsia"/>
          <w:color w:val="000000"/>
          <w:sz w:val="21"/>
          <w:szCs w:val="21"/>
        </w:rPr>
        <w:t>应负责修复或照价赔偿。</w:t>
      </w:r>
    </w:p>
    <w:p>
      <w:pPr>
        <w:ind w:firstLine="420"/>
        <w:rPr>
          <w:spacing w:val="4"/>
          <w:sz w:val="21"/>
          <w:szCs w:val="21"/>
        </w:rPr>
      </w:pPr>
      <w:r>
        <w:rPr>
          <w:rFonts w:hint="eastAsia" w:asciiTheme="minorEastAsia" w:hAnsiTheme="minorEastAsia" w:eastAsiaTheme="minorEastAsia"/>
          <w:color w:val="000000"/>
          <w:sz w:val="21"/>
          <w:szCs w:val="21"/>
        </w:rPr>
        <w:t>7、</w:t>
      </w:r>
      <w:r>
        <w:rPr>
          <w:sz w:val="21"/>
          <w:szCs w:val="21"/>
        </w:rPr>
        <w:t>项目</w:t>
      </w:r>
      <w:r>
        <w:rPr>
          <w:rFonts w:hint="eastAsia"/>
          <w:sz w:val="21"/>
          <w:szCs w:val="21"/>
        </w:rPr>
        <w:t>涉及到</w:t>
      </w:r>
      <w:r>
        <w:rPr>
          <w:sz w:val="21"/>
          <w:szCs w:val="21"/>
        </w:rPr>
        <w:t>的拆墙、</w:t>
      </w:r>
      <w:r>
        <w:rPr>
          <w:rFonts w:hint="eastAsia"/>
          <w:sz w:val="21"/>
          <w:szCs w:val="21"/>
        </w:rPr>
        <w:t>开</w:t>
      </w:r>
      <w:r>
        <w:rPr>
          <w:sz w:val="21"/>
          <w:szCs w:val="21"/>
        </w:rPr>
        <w:t>孔等，安装完成后</w:t>
      </w:r>
      <w:r>
        <w:rPr>
          <w:rFonts w:hint="eastAsia"/>
          <w:sz w:val="21"/>
          <w:szCs w:val="21"/>
        </w:rPr>
        <w:t>供应商</w:t>
      </w:r>
      <w:r>
        <w:rPr>
          <w:sz w:val="21"/>
          <w:szCs w:val="21"/>
        </w:rPr>
        <w:t>应负责修复。</w:t>
      </w:r>
    </w:p>
    <w:p>
      <w:pPr>
        <w:ind w:firstLine="482"/>
        <w:rPr>
          <w:b/>
          <w:bCs/>
        </w:rPr>
      </w:pPr>
      <w:r>
        <w:rPr>
          <w:rFonts w:hint="eastAsia"/>
          <w:b/>
          <w:bCs/>
        </w:rPr>
        <w:t>六、验收与结算</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1、供应商将货物送到采购人指定地点，安装调试后按国家相关标准、行业标准及项目要求进行验收</w:t>
      </w:r>
      <w:r>
        <w:rPr>
          <w:rFonts w:asciiTheme="minorEastAsia" w:hAnsiTheme="minorEastAsia" w:eastAsiaTheme="minorEastAsia"/>
          <w:color w:val="000000"/>
          <w:sz w:val="21"/>
          <w:szCs w:val="21"/>
        </w:rPr>
        <w:t>。</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2、供应商需将所有设备的用户手册、保修手册、有关单证资料及配备件、随机工具等交付给采购人。</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3、供应商须提供免费的培训服务，直接采购人熟悉设备操作及日常保养为止。</w:t>
      </w:r>
    </w:p>
    <w:p>
      <w:pPr>
        <w:ind w:firstLine="42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4、项目</w:t>
      </w:r>
      <w:r>
        <w:rPr>
          <w:rFonts w:asciiTheme="minorEastAsia" w:hAnsiTheme="minorEastAsia" w:eastAsiaTheme="minorEastAsia"/>
          <w:color w:val="000000"/>
          <w:sz w:val="21"/>
          <w:szCs w:val="21"/>
        </w:rPr>
        <w:t>验收合格，凭</w:t>
      </w:r>
      <w:r>
        <w:rPr>
          <w:rFonts w:hint="eastAsia" w:asciiTheme="minorEastAsia" w:hAnsiTheme="minorEastAsia" w:eastAsiaTheme="minorEastAsia"/>
          <w:color w:val="000000"/>
          <w:sz w:val="21"/>
          <w:szCs w:val="21"/>
        </w:rPr>
        <w:t>供应商</w:t>
      </w:r>
      <w:r>
        <w:rPr>
          <w:rFonts w:asciiTheme="minorEastAsia" w:hAnsiTheme="minorEastAsia" w:eastAsiaTheme="minorEastAsia"/>
          <w:color w:val="000000"/>
          <w:sz w:val="21"/>
          <w:szCs w:val="21"/>
        </w:rPr>
        <w:t>开具的全额发票</w:t>
      </w:r>
      <w:r>
        <w:rPr>
          <w:rFonts w:hint="eastAsia" w:asciiTheme="minorEastAsia" w:hAnsiTheme="minorEastAsia" w:eastAsiaTheme="minorEastAsia"/>
          <w:color w:val="000000"/>
          <w:sz w:val="21"/>
          <w:szCs w:val="21"/>
        </w:rPr>
        <w:t>和验收资料</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采购</w:t>
      </w:r>
      <w:r>
        <w:rPr>
          <w:rFonts w:asciiTheme="minorEastAsia" w:hAnsiTheme="minorEastAsia" w:eastAsiaTheme="minorEastAsia"/>
          <w:color w:val="000000"/>
          <w:sz w:val="21"/>
          <w:szCs w:val="21"/>
        </w:rPr>
        <w:t>人于60</w:t>
      </w:r>
      <w:r>
        <w:rPr>
          <w:rFonts w:hint="eastAsia" w:asciiTheme="minorEastAsia" w:hAnsiTheme="minorEastAsia" w:eastAsiaTheme="minorEastAsia"/>
          <w:color w:val="000000"/>
          <w:sz w:val="21"/>
          <w:szCs w:val="21"/>
        </w:rPr>
        <w:t>个自然日</w:t>
      </w:r>
      <w:r>
        <w:rPr>
          <w:rFonts w:asciiTheme="minorEastAsia" w:hAnsiTheme="minorEastAsia" w:eastAsiaTheme="minorEastAsia"/>
          <w:color w:val="000000"/>
          <w:sz w:val="21"/>
          <w:szCs w:val="21"/>
        </w:rPr>
        <w:t>内支付</w:t>
      </w:r>
      <w:r>
        <w:rPr>
          <w:rFonts w:hint="eastAsia" w:asciiTheme="minorEastAsia" w:hAnsiTheme="minorEastAsia" w:eastAsiaTheme="minorEastAsia"/>
          <w:color w:val="000000"/>
          <w:sz w:val="21"/>
          <w:szCs w:val="21"/>
        </w:rPr>
        <w:t>合同款项。</w:t>
      </w:r>
    </w:p>
    <w:p>
      <w:pPr>
        <w:ind w:firstLine="420"/>
        <w:rPr>
          <w:sz w:val="21"/>
          <w:szCs w:val="21"/>
        </w:rPr>
      </w:pPr>
    </w:p>
    <w:p>
      <w:pPr>
        <w:spacing w:line="360" w:lineRule="auto"/>
        <w:ind w:firstLine="420"/>
        <w:rPr>
          <w:rFonts w:hint="eastAsia"/>
          <w:sz w:val="21"/>
          <w:szCs w:val="21"/>
        </w:rPr>
      </w:pPr>
    </w:p>
    <w:sectPr>
      <w:headerReference r:id="rId3" w:type="default"/>
      <w:footerReference r:id="rId4" w:type="default"/>
      <w:pgSz w:w="11906" w:h="16838"/>
      <w:pgMar w:top="1440" w:right="851" w:bottom="1440" w:left="1276" w:header="73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738" w:firstLine="484"/>
      <w:rPr>
        <w:rFonts w:ascii="Microsoft JhengHei" w:hAnsi="Microsoft JhengHei" w:eastAsia="Microsoft JhengHei" w:cs="Microsoft JhengHei"/>
      </w:rPr>
    </w:pPr>
    <w:r>
      <w:rPr>
        <w:rFonts w:ascii="Microsoft JhengHei" w:hAnsi="Microsoft JhengHei" w:eastAsia="Microsoft JhengHei" w:cs="Microsoft JhengHei"/>
        <w:spacing w:val="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420"/>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DJkMWY0NzMwOTMyNjM3YWM1MjE4YWZjMjliZmIifQ=="/>
  </w:docVars>
  <w:rsids>
    <w:rsidRoot w:val="00216687"/>
    <w:rsid w:val="00003380"/>
    <w:rsid w:val="00003861"/>
    <w:rsid w:val="00032390"/>
    <w:rsid w:val="0004513E"/>
    <w:rsid w:val="00056C23"/>
    <w:rsid w:val="000631C0"/>
    <w:rsid w:val="00064C08"/>
    <w:rsid w:val="00064FC7"/>
    <w:rsid w:val="0006739A"/>
    <w:rsid w:val="000735A1"/>
    <w:rsid w:val="000813AD"/>
    <w:rsid w:val="000862FB"/>
    <w:rsid w:val="0008774B"/>
    <w:rsid w:val="000940BC"/>
    <w:rsid w:val="0009446C"/>
    <w:rsid w:val="00094EAA"/>
    <w:rsid w:val="000A0AD3"/>
    <w:rsid w:val="000A38B4"/>
    <w:rsid w:val="000E3497"/>
    <w:rsid w:val="000E3DEB"/>
    <w:rsid w:val="000E4715"/>
    <w:rsid w:val="000E74D6"/>
    <w:rsid w:val="000F6909"/>
    <w:rsid w:val="000F6E25"/>
    <w:rsid w:val="001039B8"/>
    <w:rsid w:val="00104FD4"/>
    <w:rsid w:val="001211BA"/>
    <w:rsid w:val="001306E3"/>
    <w:rsid w:val="001470F3"/>
    <w:rsid w:val="00154F04"/>
    <w:rsid w:val="00162A3C"/>
    <w:rsid w:val="0018678E"/>
    <w:rsid w:val="00186CB5"/>
    <w:rsid w:val="001877BA"/>
    <w:rsid w:val="001A5195"/>
    <w:rsid w:val="001A646F"/>
    <w:rsid w:val="001B6AB5"/>
    <w:rsid w:val="001C66F4"/>
    <w:rsid w:val="001C6E1D"/>
    <w:rsid w:val="001D1CD0"/>
    <w:rsid w:val="001D2F03"/>
    <w:rsid w:val="001E6A60"/>
    <w:rsid w:val="001F1E79"/>
    <w:rsid w:val="001F7C64"/>
    <w:rsid w:val="0021390F"/>
    <w:rsid w:val="00216687"/>
    <w:rsid w:val="00222447"/>
    <w:rsid w:val="002235EF"/>
    <w:rsid w:val="002308EB"/>
    <w:rsid w:val="00231AA3"/>
    <w:rsid w:val="00245FBA"/>
    <w:rsid w:val="002615C6"/>
    <w:rsid w:val="002731E2"/>
    <w:rsid w:val="00284EB0"/>
    <w:rsid w:val="0028645A"/>
    <w:rsid w:val="00291642"/>
    <w:rsid w:val="00294BF1"/>
    <w:rsid w:val="002B2B4E"/>
    <w:rsid w:val="002B3161"/>
    <w:rsid w:val="002C0016"/>
    <w:rsid w:val="002C29D9"/>
    <w:rsid w:val="002D0DC1"/>
    <w:rsid w:val="003054C1"/>
    <w:rsid w:val="00312051"/>
    <w:rsid w:val="00321814"/>
    <w:rsid w:val="00323A5F"/>
    <w:rsid w:val="003248D0"/>
    <w:rsid w:val="003528CB"/>
    <w:rsid w:val="003554C4"/>
    <w:rsid w:val="00356E5E"/>
    <w:rsid w:val="003615C6"/>
    <w:rsid w:val="00363D3F"/>
    <w:rsid w:val="00365CAD"/>
    <w:rsid w:val="003868BE"/>
    <w:rsid w:val="003936F6"/>
    <w:rsid w:val="003C4E24"/>
    <w:rsid w:val="003C56B4"/>
    <w:rsid w:val="003D0C39"/>
    <w:rsid w:val="003F38B9"/>
    <w:rsid w:val="003F5EA9"/>
    <w:rsid w:val="003F762B"/>
    <w:rsid w:val="0040759F"/>
    <w:rsid w:val="00407A08"/>
    <w:rsid w:val="00410B68"/>
    <w:rsid w:val="004153CF"/>
    <w:rsid w:val="00420168"/>
    <w:rsid w:val="004209B2"/>
    <w:rsid w:val="00422552"/>
    <w:rsid w:val="004237FE"/>
    <w:rsid w:val="004261BA"/>
    <w:rsid w:val="00441B0C"/>
    <w:rsid w:val="004537BD"/>
    <w:rsid w:val="0045523C"/>
    <w:rsid w:val="00460784"/>
    <w:rsid w:val="00462F37"/>
    <w:rsid w:val="00463B8A"/>
    <w:rsid w:val="00471458"/>
    <w:rsid w:val="00471DCA"/>
    <w:rsid w:val="00485C2D"/>
    <w:rsid w:val="004A0EEA"/>
    <w:rsid w:val="004A12D8"/>
    <w:rsid w:val="004A47D8"/>
    <w:rsid w:val="004B3288"/>
    <w:rsid w:val="004C15B5"/>
    <w:rsid w:val="004C7EA5"/>
    <w:rsid w:val="004D3807"/>
    <w:rsid w:val="004D5C75"/>
    <w:rsid w:val="004E02CE"/>
    <w:rsid w:val="004E3EB5"/>
    <w:rsid w:val="004E5CA6"/>
    <w:rsid w:val="0051640D"/>
    <w:rsid w:val="0051796D"/>
    <w:rsid w:val="00526199"/>
    <w:rsid w:val="00535DF3"/>
    <w:rsid w:val="00542F44"/>
    <w:rsid w:val="005431A2"/>
    <w:rsid w:val="0055473A"/>
    <w:rsid w:val="0056552A"/>
    <w:rsid w:val="005658C4"/>
    <w:rsid w:val="00586FE7"/>
    <w:rsid w:val="00590021"/>
    <w:rsid w:val="005945FC"/>
    <w:rsid w:val="00595146"/>
    <w:rsid w:val="005A3B85"/>
    <w:rsid w:val="005B2E26"/>
    <w:rsid w:val="005B5E0B"/>
    <w:rsid w:val="005B6EA5"/>
    <w:rsid w:val="005C1E25"/>
    <w:rsid w:val="005C2276"/>
    <w:rsid w:val="005C5177"/>
    <w:rsid w:val="005C6290"/>
    <w:rsid w:val="005D4A6A"/>
    <w:rsid w:val="005E7036"/>
    <w:rsid w:val="005F3044"/>
    <w:rsid w:val="0060591D"/>
    <w:rsid w:val="006179E7"/>
    <w:rsid w:val="00634CDC"/>
    <w:rsid w:val="00635421"/>
    <w:rsid w:val="006360D2"/>
    <w:rsid w:val="006575D1"/>
    <w:rsid w:val="00661201"/>
    <w:rsid w:val="00671DE8"/>
    <w:rsid w:val="00671E5E"/>
    <w:rsid w:val="0067360D"/>
    <w:rsid w:val="00675155"/>
    <w:rsid w:val="0067552A"/>
    <w:rsid w:val="006861C0"/>
    <w:rsid w:val="00692A55"/>
    <w:rsid w:val="006A103B"/>
    <w:rsid w:val="006C6F00"/>
    <w:rsid w:val="006D08BC"/>
    <w:rsid w:val="006D18CE"/>
    <w:rsid w:val="006D475D"/>
    <w:rsid w:val="006E2455"/>
    <w:rsid w:val="006F01A4"/>
    <w:rsid w:val="006F3175"/>
    <w:rsid w:val="006F3E13"/>
    <w:rsid w:val="0071504E"/>
    <w:rsid w:val="007379BD"/>
    <w:rsid w:val="0074241D"/>
    <w:rsid w:val="00745461"/>
    <w:rsid w:val="007542BF"/>
    <w:rsid w:val="00765C5A"/>
    <w:rsid w:val="00767401"/>
    <w:rsid w:val="00773449"/>
    <w:rsid w:val="00791DD1"/>
    <w:rsid w:val="007A35E1"/>
    <w:rsid w:val="007A3E76"/>
    <w:rsid w:val="007B0A8B"/>
    <w:rsid w:val="007B4EE4"/>
    <w:rsid w:val="007C5DEF"/>
    <w:rsid w:val="007C7261"/>
    <w:rsid w:val="007E62F7"/>
    <w:rsid w:val="007F43F6"/>
    <w:rsid w:val="007F511D"/>
    <w:rsid w:val="008035A3"/>
    <w:rsid w:val="00805E48"/>
    <w:rsid w:val="0081014E"/>
    <w:rsid w:val="008254DA"/>
    <w:rsid w:val="008467E3"/>
    <w:rsid w:val="00861D14"/>
    <w:rsid w:val="00866CD5"/>
    <w:rsid w:val="008727EB"/>
    <w:rsid w:val="00876418"/>
    <w:rsid w:val="00896EE1"/>
    <w:rsid w:val="008B39CB"/>
    <w:rsid w:val="008B5E29"/>
    <w:rsid w:val="008B7EEA"/>
    <w:rsid w:val="008D7797"/>
    <w:rsid w:val="008E2693"/>
    <w:rsid w:val="008E62D4"/>
    <w:rsid w:val="009075AE"/>
    <w:rsid w:val="00930131"/>
    <w:rsid w:val="009314D8"/>
    <w:rsid w:val="00933298"/>
    <w:rsid w:val="009349CE"/>
    <w:rsid w:val="0094584E"/>
    <w:rsid w:val="009523B4"/>
    <w:rsid w:val="00964A1F"/>
    <w:rsid w:val="00974AB5"/>
    <w:rsid w:val="009A52F9"/>
    <w:rsid w:val="009A7EB4"/>
    <w:rsid w:val="009B1843"/>
    <w:rsid w:val="009D6157"/>
    <w:rsid w:val="009F5C42"/>
    <w:rsid w:val="00A01CB6"/>
    <w:rsid w:val="00A053CA"/>
    <w:rsid w:val="00A27019"/>
    <w:rsid w:val="00A271A4"/>
    <w:rsid w:val="00A275AC"/>
    <w:rsid w:val="00A30E51"/>
    <w:rsid w:val="00A3328F"/>
    <w:rsid w:val="00A46D59"/>
    <w:rsid w:val="00A47D7F"/>
    <w:rsid w:val="00A5146D"/>
    <w:rsid w:val="00A74ED7"/>
    <w:rsid w:val="00A75D46"/>
    <w:rsid w:val="00A87EA7"/>
    <w:rsid w:val="00AA3F57"/>
    <w:rsid w:val="00AB4C92"/>
    <w:rsid w:val="00AC191C"/>
    <w:rsid w:val="00AC6035"/>
    <w:rsid w:val="00AC6C1D"/>
    <w:rsid w:val="00AD51E5"/>
    <w:rsid w:val="00AE5A24"/>
    <w:rsid w:val="00AF43E8"/>
    <w:rsid w:val="00B124DF"/>
    <w:rsid w:val="00B17CE7"/>
    <w:rsid w:val="00B30ED3"/>
    <w:rsid w:val="00B46DBC"/>
    <w:rsid w:val="00B5660A"/>
    <w:rsid w:val="00B6171E"/>
    <w:rsid w:val="00B621E9"/>
    <w:rsid w:val="00B76CF2"/>
    <w:rsid w:val="00B813B4"/>
    <w:rsid w:val="00B869BD"/>
    <w:rsid w:val="00B94EC1"/>
    <w:rsid w:val="00BB4E37"/>
    <w:rsid w:val="00BB5FB3"/>
    <w:rsid w:val="00BC1FBA"/>
    <w:rsid w:val="00BD4676"/>
    <w:rsid w:val="00BD7F31"/>
    <w:rsid w:val="00BF791B"/>
    <w:rsid w:val="00C04E5D"/>
    <w:rsid w:val="00C13F40"/>
    <w:rsid w:val="00C21FD5"/>
    <w:rsid w:val="00C30867"/>
    <w:rsid w:val="00C312FA"/>
    <w:rsid w:val="00C337C1"/>
    <w:rsid w:val="00C354CA"/>
    <w:rsid w:val="00C425A4"/>
    <w:rsid w:val="00C56547"/>
    <w:rsid w:val="00C5676D"/>
    <w:rsid w:val="00C57A6F"/>
    <w:rsid w:val="00C64039"/>
    <w:rsid w:val="00C8641C"/>
    <w:rsid w:val="00C87F72"/>
    <w:rsid w:val="00C9562E"/>
    <w:rsid w:val="00CC040B"/>
    <w:rsid w:val="00CC2661"/>
    <w:rsid w:val="00CC468B"/>
    <w:rsid w:val="00CD513E"/>
    <w:rsid w:val="00CD6681"/>
    <w:rsid w:val="00CE2360"/>
    <w:rsid w:val="00CE37FE"/>
    <w:rsid w:val="00CE7CB8"/>
    <w:rsid w:val="00D16527"/>
    <w:rsid w:val="00D17B92"/>
    <w:rsid w:val="00D226C0"/>
    <w:rsid w:val="00D26ABB"/>
    <w:rsid w:val="00D31E38"/>
    <w:rsid w:val="00D42167"/>
    <w:rsid w:val="00D53E89"/>
    <w:rsid w:val="00D754FD"/>
    <w:rsid w:val="00D82DFB"/>
    <w:rsid w:val="00D833FC"/>
    <w:rsid w:val="00D97209"/>
    <w:rsid w:val="00DA678B"/>
    <w:rsid w:val="00DB509C"/>
    <w:rsid w:val="00DB6745"/>
    <w:rsid w:val="00DC4DA0"/>
    <w:rsid w:val="00DC77BF"/>
    <w:rsid w:val="00DE21B9"/>
    <w:rsid w:val="00DE224F"/>
    <w:rsid w:val="00DE5CB1"/>
    <w:rsid w:val="00DF295C"/>
    <w:rsid w:val="00DF461F"/>
    <w:rsid w:val="00DF5E5D"/>
    <w:rsid w:val="00E000DB"/>
    <w:rsid w:val="00E010E2"/>
    <w:rsid w:val="00E23959"/>
    <w:rsid w:val="00E261F4"/>
    <w:rsid w:val="00E265E9"/>
    <w:rsid w:val="00E27389"/>
    <w:rsid w:val="00E41BC5"/>
    <w:rsid w:val="00E47F47"/>
    <w:rsid w:val="00E60DCE"/>
    <w:rsid w:val="00E642E3"/>
    <w:rsid w:val="00E72127"/>
    <w:rsid w:val="00E75252"/>
    <w:rsid w:val="00E758BF"/>
    <w:rsid w:val="00E838B6"/>
    <w:rsid w:val="00E97832"/>
    <w:rsid w:val="00EA5C1D"/>
    <w:rsid w:val="00EB0F23"/>
    <w:rsid w:val="00EC1B8C"/>
    <w:rsid w:val="00EC2D09"/>
    <w:rsid w:val="00EC5FE2"/>
    <w:rsid w:val="00ED620A"/>
    <w:rsid w:val="00ED7BB1"/>
    <w:rsid w:val="00EE0B45"/>
    <w:rsid w:val="00EE29F2"/>
    <w:rsid w:val="00EF20DD"/>
    <w:rsid w:val="00EF25A6"/>
    <w:rsid w:val="00F033A9"/>
    <w:rsid w:val="00F03A77"/>
    <w:rsid w:val="00F130A3"/>
    <w:rsid w:val="00F14C92"/>
    <w:rsid w:val="00F21656"/>
    <w:rsid w:val="00F23C99"/>
    <w:rsid w:val="00F4040D"/>
    <w:rsid w:val="00F43DC7"/>
    <w:rsid w:val="00F545EF"/>
    <w:rsid w:val="00F55F88"/>
    <w:rsid w:val="00F644F9"/>
    <w:rsid w:val="00F64F6C"/>
    <w:rsid w:val="00F73587"/>
    <w:rsid w:val="00F75B4C"/>
    <w:rsid w:val="00F81ED3"/>
    <w:rsid w:val="00F83338"/>
    <w:rsid w:val="00FB24EA"/>
    <w:rsid w:val="00FB43FA"/>
    <w:rsid w:val="00FC3537"/>
    <w:rsid w:val="00FD08DB"/>
    <w:rsid w:val="00FD3C86"/>
    <w:rsid w:val="00FE503C"/>
    <w:rsid w:val="060C1772"/>
    <w:rsid w:val="08255D35"/>
    <w:rsid w:val="0CE5039D"/>
    <w:rsid w:val="0D1F72BB"/>
    <w:rsid w:val="11994AF5"/>
    <w:rsid w:val="13DC3D8D"/>
    <w:rsid w:val="19C0473E"/>
    <w:rsid w:val="1B417C20"/>
    <w:rsid w:val="1DA47328"/>
    <w:rsid w:val="24343A80"/>
    <w:rsid w:val="24574F59"/>
    <w:rsid w:val="27215FF7"/>
    <w:rsid w:val="2F833738"/>
    <w:rsid w:val="3049232A"/>
    <w:rsid w:val="347652E2"/>
    <w:rsid w:val="358B349A"/>
    <w:rsid w:val="3D8377D2"/>
    <w:rsid w:val="452920EA"/>
    <w:rsid w:val="4DE35070"/>
    <w:rsid w:val="52267F19"/>
    <w:rsid w:val="58F32112"/>
    <w:rsid w:val="5F482487"/>
    <w:rsid w:val="626A0C9C"/>
    <w:rsid w:val="66373E26"/>
    <w:rsid w:val="77F9775E"/>
    <w:rsid w:val="7FFD7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480" w:firstLineChars="200"/>
    </w:pPr>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120" w:after="120" w:line="360" w:lineRule="auto"/>
      <w:ind w:firstLine="0" w:firstLineChars="0"/>
      <w:outlineLvl w:val="0"/>
    </w:pPr>
    <w:rPr>
      <w:b/>
      <w:bCs/>
      <w:kern w:val="44"/>
      <w:sz w:val="30"/>
      <w:szCs w:val="30"/>
    </w:rPr>
  </w:style>
  <w:style w:type="paragraph" w:styleId="3">
    <w:name w:val="heading 2"/>
    <w:basedOn w:val="1"/>
    <w:next w:val="1"/>
    <w:link w:val="22"/>
    <w:unhideWhenUsed/>
    <w:qFormat/>
    <w:uiPriority w:val="9"/>
    <w:pPr>
      <w:keepNext/>
      <w:keepLines/>
      <w:spacing w:line="360" w:lineRule="auto"/>
      <w:ind w:firstLine="0" w:firstLineChars="0"/>
      <w:outlineLvl w:val="1"/>
    </w:pPr>
    <w:rPr>
      <w:rFonts w:asciiTheme="majorHAnsi" w:hAnsiTheme="majorHAnsi" w:eastAsiaTheme="majorEastAsia" w:cstheme="majorBidi"/>
      <w:b/>
      <w:bCs/>
      <w:sz w:val="28"/>
      <w:szCs w:val="28"/>
    </w:rPr>
  </w:style>
  <w:style w:type="paragraph" w:styleId="4">
    <w:name w:val="heading 3"/>
    <w:basedOn w:val="1"/>
    <w:next w:val="1"/>
    <w:link w:val="23"/>
    <w:unhideWhenUsed/>
    <w:qFormat/>
    <w:uiPriority w:val="9"/>
    <w:pPr>
      <w:keepNext/>
      <w:keepLines/>
      <w:adjustRightInd w:val="0"/>
      <w:snapToGrid w:val="0"/>
      <w:spacing w:before="163" w:line="360" w:lineRule="auto"/>
      <w:ind w:firstLine="562"/>
      <w:outlineLvl w:val="2"/>
    </w:pPr>
    <w:rPr>
      <w:b/>
      <w:bCs/>
      <w:sz w:val="28"/>
      <w:szCs w:val="32"/>
    </w:rPr>
  </w:style>
  <w:style w:type="paragraph" w:styleId="5">
    <w:name w:val="heading 4"/>
    <w:basedOn w:val="1"/>
    <w:next w:val="1"/>
    <w:link w:val="37"/>
    <w:unhideWhenUsed/>
    <w:qFormat/>
    <w:uiPriority w:val="9"/>
    <w:pPr>
      <w:keepNext/>
      <w:keepLines/>
      <w:spacing w:before="120" w:line="240" w:lineRule="auto"/>
      <w:ind w:firstLine="482"/>
      <w:outlineLvl w:val="3"/>
    </w:pPr>
    <w:rPr>
      <w:rFonts w:asciiTheme="majorHAnsi" w:hAnsiTheme="majorHAnsi" w:eastAsiaTheme="majorEastAsia" w:cstheme="majorBidi"/>
      <w:b/>
      <w:bCs/>
      <w:szCs w:val="28"/>
    </w:rPr>
  </w:style>
  <w:style w:type="paragraph" w:styleId="6">
    <w:name w:val="heading 5"/>
    <w:basedOn w:val="1"/>
    <w:next w:val="1"/>
    <w:link w:val="38"/>
    <w:unhideWhenUsed/>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5"/>
    <w:unhideWhenUsed/>
    <w:qFormat/>
    <w:uiPriority w:val="0"/>
    <w:pPr>
      <w:widowControl w:val="0"/>
      <w:spacing w:line="240" w:lineRule="auto"/>
      <w:ind w:firstLine="420"/>
      <w:jc w:val="both"/>
    </w:pPr>
    <w:rPr>
      <w:rFonts w:asciiTheme="minorHAnsi" w:hAnsiTheme="minorHAnsi" w:eastAsiaTheme="minorEastAsia" w:cstheme="minorBidi"/>
      <w:kern w:val="2"/>
      <w:sz w:val="21"/>
      <w:szCs w:val="22"/>
    </w:rPr>
  </w:style>
  <w:style w:type="paragraph" w:styleId="8">
    <w:name w:val="annotation text"/>
    <w:basedOn w:val="1"/>
    <w:link w:val="33"/>
    <w:unhideWhenUsed/>
    <w:qFormat/>
    <w:uiPriority w:val="99"/>
    <w:pPr>
      <w:adjustRightInd w:val="0"/>
      <w:snapToGrid w:val="0"/>
      <w:ind w:firstLine="420"/>
    </w:pPr>
    <w:rPr>
      <w:sz w:val="21"/>
      <w:szCs w:val="21"/>
    </w:rPr>
  </w:style>
  <w:style w:type="paragraph" w:styleId="9">
    <w:name w:val="toc 3"/>
    <w:basedOn w:val="1"/>
    <w:next w:val="1"/>
    <w:unhideWhenUsed/>
    <w:qFormat/>
    <w:uiPriority w:val="39"/>
    <w:pPr>
      <w:tabs>
        <w:tab w:val="right" w:leader="dot" w:pos="8680"/>
      </w:tabs>
      <w:adjustRightInd w:val="0"/>
      <w:snapToGrid w:val="0"/>
      <w:ind w:left="485" w:leftChars="202" w:firstLine="790" w:firstLineChars="376"/>
    </w:pPr>
    <w:rPr>
      <w:sz w:val="21"/>
      <w:szCs w:val="21"/>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647"/>
      </w:tabs>
      <w:adjustRightInd w:val="0"/>
      <w:snapToGrid w:val="0"/>
      <w:ind w:firstLine="420"/>
    </w:pPr>
    <w:rPr>
      <w:sz w:val="21"/>
      <w:szCs w:val="21"/>
    </w:rPr>
  </w:style>
  <w:style w:type="paragraph" w:styleId="14">
    <w:name w:val="toc 2"/>
    <w:basedOn w:val="1"/>
    <w:next w:val="1"/>
    <w:unhideWhenUsed/>
    <w:qFormat/>
    <w:uiPriority w:val="39"/>
    <w:pPr>
      <w:tabs>
        <w:tab w:val="right" w:leader="dot" w:pos="8680"/>
      </w:tabs>
      <w:adjustRightInd w:val="0"/>
      <w:snapToGrid w:val="0"/>
      <w:ind w:firstLine="850" w:firstLineChars="405"/>
    </w:pPr>
    <w:rPr>
      <w:sz w:val="21"/>
      <w:szCs w:val="21"/>
    </w:rPr>
  </w:style>
  <w:style w:type="paragraph" w:styleId="15">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paragraph" w:styleId="16">
    <w:name w:val="annotation subject"/>
    <w:basedOn w:val="8"/>
    <w:next w:val="8"/>
    <w:link w:val="34"/>
    <w:semiHidden/>
    <w:unhideWhenUsed/>
    <w:qFormat/>
    <w:uiPriority w:val="99"/>
    <w:rPr>
      <w:b/>
      <w:bCs/>
    </w:r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宋体" w:hAnsi="宋体" w:eastAsia="宋体" w:cs="宋体"/>
      <w:b/>
      <w:bCs/>
      <w:kern w:val="44"/>
      <w:sz w:val="30"/>
      <w:szCs w:val="30"/>
    </w:rPr>
  </w:style>
  <w:style w:type="character" w:customStyle="1" w:styleId="22">
    <w:name w:val="标题 2 字符"/>
    <w:basedOn w:val="18"/>
    <w:link w:val="3"/>
    <w:qFormat/>
    <w:uiPriority w:val="9"/>
    <w:rPr>
      <w:rFonts w:asciiTheme="majorHAnsi" w:hAnsiTheme="majorHAnsi" w:eastAsiaTheme="majorEastAsia" w:cstheme="majorBidi"/>
      <w:b/>
      <w:bCs/>
      <w:kern w:val="0"/>
      <w:sz w:val="28"/>
      <w:szCs w:val="28"/>
    </w:rPr>
  </w:style>
  <w:style w:type="character" w:customStyle="1" w:styleId="23">
    <w:name w:val="标题 3 字符"/>
    <w:basedOn w:val="18"/>
    <w:link w:val="4"/>
    <w:qFormat/>
    <w:uiPriority w:val="9"/>
    <w:rPr>
      <w:rFonts w:ascii="宋体" w:hAnsi="宋体" w:eastAsia="宋体" w:cs="宋体"/>
      <w:b/>
      <w:bCs/>
      <w:kern w:val="0"/>
      <w:sz w:val="28"/>
      <w:szCs w:val="32"/>
    </w:rPr>
  </w:style>
  <w:style w:type="character" w:customStyle="1" w:styleId="24">
    <w:name w:val="标题 字符"/>
    <w:basedOn w:val="18"/>
    <w:link w:val="15"/>
    <w:qFormat/>
    <w:uiPriority w:val="10"/>
    <w:rPr>
      <w:rFonts w:eastAsia="宋体" w:asciiTheme="majorHAnsi" w:hAnsiTheme="majorHAnsi" w:cstheme="majorBidi"/>
      <w:b/>
      <w:bCs/>
      <w:kern w:val="0"/>
      <w:sz w:val="32"/>
      <w:szCs w:val="32"/>
    </w:rPr>
  </w:style>
  <w:style w:type="character" w:customStyle="1" w:styleId="25">
    <w:name w:val="页眉 字符"/>
    <w:basedOn w:val="18"/>
    <w:link w:val="12"/>
    <w:qFormat/>
    <w:uiPriority w:val="99"/>
    <w:rPr>
      <w:rFonts w:ascii="宋体" w:hAnsi="宋体" w:eastAsia="宋体" w:cs="宋体"/>
      <w:kern w:val="0"/>
      <w:sz w:val="18"/>
      <w:szCs w:val="18"/>
    </w:rPr>
  </w:style>
  <w:style w:type="character" w:customStyle="1" w:styleId="26">
    <w:name w:val="页脚 字符"/>
    <w:basedOn w:val="18"/>
    <w:link w:val="11"/>
    <w:qFormat/>
    <w:uiPriority w:val="99"/>
    <w:rPr>
      <w:rFonts w:ascii="宋体" w:hAnsi="宋体" w:eastAsia="宋体" w:cs="宋体"/>
      <w:kern w:val="0"/>
      <w:sz w:val="18"/>
      <w:szCs w:val="18"/>
    </w:rPr>
  </w:style>
  <w:style w:type="paragraph" w:styleId="27">
    <w:name w:val="No Spacing"/>
    <w:link w:val="28"/>
    <w:qFormat/>
    <w:uiPriority w:val="1"/>
    <w:pPr>
      <w:adjustRightInd w:val="0"/>
      <w:snapToGrid w:val="0"/>
      <w:spacing w:line="300" w:lineRule="auto"/>
    </w:pPr>
    <w:rPr>
      <w:rFonts w:ascii="宋体" w:hAnsi="宋体" w:eastAsia="宋体" w:cs="宋体"/>
      <w:sz w:val="21"/>
      <w:szCs w:val="21"/>
      <w:lang w:val="en-US" w:eastAsia="zh-CN" w:bidi="ar-SA"/>
    </w:rPr>
  </w:style>
  <w:style w:type="character" w:customStyle="1" w:styleId="28">
    <w:name w:val="无间隔 字符"/>
    <w:basedOn w:val="18"/>
    <w:link w:val="27"/>
    <w:qFormat/>
    <w:uiPriority w:val="1"/>
    <w:rPr>
      <w:rFonts w:ascii="宋体" w:hAnsi="宋体" w:eastAsia="宋体" w:cs="宋体"/>
      <w:kern w:val="0"/>
      <w:szCs w:val="21"/>
    </w:rPr>
  </w:style>
  <w:style w:type="paragraph" w:styleId="29">
    <w:name w:val="List Paragraph"/>
    <w:basedOn w:val="1"/>
    <w:qFormat/>
    <w:uiPriority w:val="34"/>
    <w:pPr>
      <w:ind w:firstLine="420"/>
    </w:pPr>
  </w:style>
  <w:style w:type="paragraph" w:customStyle="1" w:styleId="30">
    <w:name w:val="编号式样"/>
    <w:basedOn w:val="27"/>
    <w:link w:val="31"/>
    <w:qFormat/>
    <w:uiPriority w:val="0"/>
    <w:pPr>
      <w:ind w:left="928" w:hanging="360"/>
    </w:pPr>
  </w:style>
  <w:style w:type="character" w:customStyle="1" w:styleId="31">
    <w:name w:val="编号式样 Char"/>
    <w:basedOn w:val="28"/>
    <w:link w:val="30"/>
    <w:qFormat/>
    <w:uiPriority w:val="0"/>
    <w:rPr>
      <w:rFonts w:ascii="宋体" w:hAnsi="宋体" w:eastAsia="宋体" w:cs="宋体"/>
      <w:kern w:val="0"/>
      <w:szCs w:val="21"/>
    </w:rPr>
  </w:style>
  <w:style w:type="character" w:customStyle="1" w:styleId="32">
    <w:name w:val="批注框文本 字符"/>
    <w:basedOn w:val="18"/>
    <w:link w:val="10"/>
    <w:semiHidden/>
    <w:qFormat/>
    <w:uiPriority w:val="99"/>
    <w:rPr>
      <w:rFonts w:ascii="宋体" w:hAnsi="宋体" w:eastAsia="宋体" w:cs="宋体"/>
      <w:kern w:val="0"/>
      <w:sz w:val="18"/>
      <w:szCs w:val="18"/>
    </w:rPr>
  </w:style>
  <w:style w:type="character" w:customStyle="1" w:styleId="33">
    <w:name w:val="批注文字 字符"/>
    <w:basedOn w:val="18"/>
    <w:link w:val="8"/>
    <w:qFormat/>
    <w:uiPriority w:val="99"/>
    <w:rPr>
      <w:rFonts w:ascii="宋体" w:hAnsi="宋体" w:eastAsia="宋体" w:cs="宋体"/>
      <w:kern w:val="0"/>
      <w:szCs w:val="21"/>
    </w:rPr>
  </w:style>
  <w:style w:type="character" w:customStyle="1" w:styleId="34">
    <w:name w:val="批注主题 字符"/>
    <w:basedOn w:val="33"/>
    <w:link w:val="16"/>
    <w:semiHidden/>
    <w:qFormat/>
    <w:uiPriority w:val="99"/>
    <w:rPr>
      <w:rFonts w:ascii="宋体" w:hAnsi="宋体" w:eastAsia="宋体" w:cs="宋体"/>
      <w:b/>
      <w:bCs/>
      <w:kern w:val="0"/>
      <w:szCs w:val="21"/>
    </w:rPr>
  </w:style>
  <w:style w:type="character" w:customStyle="1" w:styleId="35">
    <w:name w:val="正文缩进 字符"/>
    <w:link w:val="7"/>
    <w:qFormat/>
    <w:uiPriority w:val="0"/>
  </w:style>
  <w:style w:type="paragraph" w:customStyle="1" w:styleId="36">
    <w:name w:val="样式 正文缩进 + 首行缩进:  2 字符"/>
    <w:basedOn w:val="7"/>
    <w:qFormat/>
    <w:uiPriority w:val="0"/>
    <w:pPr>
      <w:adjustRightInd w:val="0"/>
      <w:snapToGrid w:val="0"/>
      <w:spacing w:line="360" w:lineRule="auto"/>
      <w:ind w:firstLine="200"/>
    </w:pPr>
    <w:rPr>
      <w:rFonts w:ascii="宋体" w:hAnsi="宋体"/>
      <w:bCs/>
      <w:sz w:val="24"/>
      <w:lang w:val="zh-CN"/>
    </w:rPr>
  </w:style>
  <w:style w:type="character" w:customStyle="1" w:styleId="37">
    <w:name w:val="标题 4 字符"/>
    <w:basedOn w:val="18"/>
    <w:link w:val="5"/>
    <w:qFormat/>
    <w:uiPriority w:val="9"/>
    <w:rPr>
      <w:rFonts w:asciiTheme="majorHAnsi" w:hAnsiTheme="majorHAnsi" w:eastAsiaTheme="majorEastAsia" w:cstheme="majorBidi"/>
      <w:b/>
      <w:bCs/>
      <w:kern w:val="0"/>
      <w:sz w:val="24"/>
      <w:szCs w:val="28"/>
    </w:rPr>
  </w:style>
  <w:style w:type="character" w:customStyle="1" w:styleId="38">
    <w:name w:val="标题 5 字符"/>
    <w:basedOn w:val="18"/>
    <w:link w:val="6"/>
    <w:qFormat/>
    <w:uiPriority w:val="9"/>
    <w:rPr>
      <w:rFonts w:ascii="宋体" w:hAnsi="宋体" w:eastAsia="宋体" w:cs="宋体"/>
      <w:b/>
      <w:bCs/>
      <w:kern w:val="0"/>
      <w:sz w:val="28"/>
      <w:szCs w:val="28"/>
    </w:rPr>
  </w:style>
  <w:style w:type="paragraph" w:customStyle="1" w:styleId="39">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Char Char2"/>
    <w:basedOn w:val="1"/>
    <w:qFormat/>
    <w:uiPriority w:val="0"/>
    <w:pPr>
      <w:widowControl w:val="0"/>
      <w:spacing w:line="240" w:lineRule="auto"/>
      <w:ind w:firstLine="0" w:firstLineChars="0"/>
      <w:jc w:val="both"/>
    </w:pPr>
    <w:rPr>
      <w:rFonts w:ascii="Times New Roman" w:hAnsi="Times New Roman" w:cs="Times New Roman"/>
      <w:kern w:val="2"/>
      <w:sz w:val="21"/>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58E97-A806-4AF0-AFDF-29D1B376F496}">
  <ds:schemaRefs/>
</ds:datastoreItem>
</file>

<file path=docProps/app.xml><?xml version="1.0" encoding="utf-8"?>
<Properties xmlns="http://schemas.openxmlformats.org/officeDocument/2006/extended-properties" xmlns:vt="http://schemas.openxmlformats.org/officeDocument/2006/docPropsVTypes">
  <Template>Normal</Template>
  <Pages>4</Pages>
  <Words>473</Words>
  <Characters>2700</Characters>
  <Lines>22</Lines>
  <Paragraphs>6</Paragraphs>
  <TotalTime>424</TotalTime>
  <ScaleCrop>false</ScaleCrop>
  <LinksUpToDate>false</LinksUpToDate>
  <CharactersWithSpaces>3167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2022-09-13T07:00:00Z</dcterms:created>
  <dc:creator>赵延文</dc:creator>
  <cp:lastModifiedBy>1</cp:lastModifiedBy>
  <dcterms:modified xsi:type="dcterms:W3CDTF">2024-11-05T10:29:56Z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6DC58CB4F6894B1BAC1F01EDFDC7DCE5</vt:lpwstr>
  </property>
</Properties>
</file>