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b/>
          <w:color w:val="auto"/>
          <w:sz w:val="32"/>
          <w:szCs w:val="32"/>
        </w:rPr>
      </w:pPr>
      <w:bookmarkStart w:id="0" w:name="_Toc27399201"/>
      <w:r>
        <w:rPr>
          <w:rFonts w:hint="eastAsia" w:ascii="宋体" w:hAnsi="宋体"/>
          <w:b/>
          <w:color w:val="auto"/>
          <w:sz w:val="32"/>
          <w:szCs w:val="32"/>
        </w:rPr>
        <w:t>用 户 需 求 书</w:t>
      </w:r>
      <w:bookmarkEnd w:id="0"/>
    </w:p>
    <w:p>
      <w:pPr>
        <w:widowControl/>
        <w:tabs>
          <w:tab w:val="left" w:pos="424"/>
          <w:tab w:val="left" w:pos="3240"/>
        </w:tabs>
        <w:spacing w:line="460" w:lineRule="exact"/>
        <w:jc w:val="left"/>
        <w:rPr>
          <w:rFonts w:ascii="宋体" w:hAnsi="宋体"/>
          <w:b/>
          <w:color w:val="auto"/>
          <w:sz w:val="24"/>
          <w:szCs w:val="21"/>
        </w:rPr>
      </w:pPr>
      <w:r>
        <w:rPr>
          <w:rFonts w:hint="eastAsia" w:ascii="宋体" w:hAnsi="宋体"/>
          <w:b/>
          <w:color w:val="auto"/>
          <w:sz w:val="24"/>
          <w:szCs w:val="21"/>
        </w:rPr>
        <w:t>一、项目概况</w:t>
      </w:r>
      <w:bookmarkStart w:id="1" w:name="_GoBack"/>
      <w:bookmarkEnd w:id="1"/>
    </w:p>
    <w:p>
      <w:pPr>
        <w:widowControl/>
        <w:tabs>
          <w:tab w:val="left" w:pos="424"/>
          <w:tab w:val="left" w:pos="3240"/>
        </w:tabs>
        <w:spacing w:line="460" w:lineRule="exact"/>
        <w:jc w:val="left"/>
        <w:rPr>
          <w:rFonts w:ascii="宋体" w:hAnsi="宋体"/>
          <w:color w:val="auto"/>
          <w:szCs w:val="21"/>
        </w:rPr>
      </w:pPr>
      <w:r>
        <w:rPr>
          <w:rFonts w:ascii="宋体" w:hAnsi="宋体"/>
          <w:color w:val="auto"/>
          <w:szCs w:val="21"/>
        </w:rPr>
        <w:t>1</w:t>
      </w:r>
      <w:r>
        <w:rPr>
          <w:rFonts w:hint="eastAsia" w:ascii="宋体" w:hAnsi="宋体"/>
          <w:color w:val="auto"/>
          <w:szCs w:val="21"/>
        </w:rPr>
        <w:t>、项目名称：</w:t>
      </w:r>
      <w:r>
        <w:rPr>
          <w:rFonts w:hint="eastAsia"/>
          <w:color w:val="auto"/>
        </w:rPr>
        <w:t>中山市中医院2025-2028年辅助岗位服务外包项目</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2、服务期为：三年（履约起止时间以合同签订时间为准）。合同试用期3个月，若服务商在试用期任何一个月考核不合格的则视为服务商违约，采购人有权终止合同。</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3、项目采购预算：三年预算总金额为人民币79427258.00元。服务合同总金额用完或服务期满后合同自动终止。</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4、服务地点：医院各临床、医技、行政后勤部门等采购人指定的工作科室。</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5、本项目不得转包；服务商未经采购人批准，不得再以任何方式分包。</w:t>
      </w:r>
    </w:p>
    <w:p>
      <w:pPr>
        <w:widowControl/>
        <w:tabs>
          <w:tab w:val="left" w:pos="424"/>
          <w:tab w:val="left" w:pos="3240"/>
        </w:tabs>
        <w:spacing w:line="460" w:lineRule="exact"/>
        <w:jc w:val="left"/>
        <w:rPr>
          <w:rFonts w:hint="eastAsia" w:ascii="宋体" w:hAnsi="宋体" w:eastAsia="宋体"/>
          <w:color w:val="auto"/>
          <w:szCs w:val="21"/>
          <w:lang w:val="en-US" w:eastAsia="zh-CN"/>
        </w:rPr>
      </w:pPr>
      <w:r>
        <w:rPr>
          <w:rFonts w:hint="eastAsia" w:ascii="宋体" w:hAnsi="宋体"/>
          <w:color w:val="auto"/>
          <w:szCs w:val="21"/>
        </w:rPr>
        <w:t>6、采购人对服务外包人员在业务工作上进行指导和监督。</w:t>
      </w:r>
      <w:r>
        <w:rPr>
          <w:rFonts w:hint="eastAsia" w:ascii="宋体" w:hAnsi="宋体"/>
          <w:color w:val="auto"/>
          <w:szCs w:val="21"/>
          <w:lang w:val="en-US" w:eastAsia="zh-CN"/>
        </w:rPr>
        <w:t xml:space="preserve"> </w:t>
      </w:r>
    </w:p>
    <w:p>
      <w:pPr>
        <w:widowControl/>
        <w:tabs>
          <w:tab w:val="left" w:pos="424"/>
          <w:tab w:val="left" w:pos="3240"/>
        </w:tabs>
        <w:spacing w:line="460" w:lineRule="exact"/>
        <w:jc w:val="left"/>
        <w:rPr>
          <w:rFonts w:ascii="宋体" w:hAnsi="宋体"/>
          <w:b/>
          <w:color w:val="auto"/>
          <w:sz w:val="24"/>
          <w:szCs w:val="21"/>
        </w:rPr>
      </w:pPr>
    </w:p>
    <w:p>
      <w:pPr>
        <w:widowControl/>
        <w:numPr>
          <w:ilvl w:val="0"/>
          <w:numId w:val="1"/>
        </w:numPr>
        <w:tabs>
          <w:tab w:val="left" w:pos="424"/>
          <w:tab w:val="left" w:pos="3240"/>
        </w:tabs>
        <w:spacing w:line="460" w:lineRule="exact"/>
        <w:jc w:val="left"/>
        <w:rPr>
          <w:rFonts w:hint="eastAsia" w:ascii="宋体" w:hAnsi="宋体"/>
          <w:b/>
          <w:color w:val="auto"/>
          <w:sz w:val="24"/>
          <w:szCs w:val="21"/>
        </w:rPr>
      </w:pPr>
      <w:r>
        <w:rPr>
          <w:rFonts w:hint="eastAsia" w:ascii="宋体" w:hAnsi="宋体"/>
          <w:b/>
          <w:color w:val="auto"/>
          <w:sz w:val="24"/>
          <w:szCs w:val="21"/>
        </w:rPr>
        <w:t>服务人员计划表</w:t>
      </w:r>
    </w:p>
    <w:tbl>
      <w:tblPr>
        <w:tblStyle w:val="11"/>
        <w:tblW w:w="9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4"/>
        <w:gridCol w:w="3687"/>
        <w:gridCol w:w="1234"/>
        <w:gridCol w:w="1234"/>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岗位名称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第一年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第二年</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医</w:t>
            </w:r>
            <w:r>
              <w:rPr>
                <w:rFonts w:hint="eastAsia" w:ascii="宋体" w:hAnsi="宋体" w:cs="宋体"/>
                <w:i w:val="0"/>
                <w:iCs w:val="0"/>
                <w:color w:val="auto"/>
                <w:kern w:val="0"/>
                <w:sz w:val="22"/>
                <w:szCs w:val="22"/>
                <w:u w:val="none"/>
                <w:lang w:val="en-US" w:eastAsia="zh-CN" w:bidi="ar"/>
              </w:rPr>
              <w:t>疗辅助岗位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w:t>
            </w:r>
            <w:r>
              <w:rPr>
                <w:rFonts w:hint="eastAsia" w:ascii="宋体" w:hAnsi="宋体" w:cs="宋体"/>
                <w:i w:val="0"/>
                <w:iCs w:val="0"/>
                <w:color w:val="auto"/>
                <w:kern w:val="0"/>
                <w:sz w:val="22"/>
                <w:szCs w:val="22"/>
                <w:u w:val="none"/>
                <w:lang w:val="en-US" w:eastAsia="zh-CN" w:bidi="ar"/>
              </w:rPr>
              <w:t>疗辅助岗位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药剂</w:t>
            </w:r>
            <w:r>
              <w:rPr>
                <w:rFonts w:hint="eastAsia" w:ascii="宋体" w:hAnsi="宋体" w:cs="宋体"/>
                <w:i w:val="0"/>
                <w:iCs w:val="0"/>
                <w:color w:val="auto"/>
                <w:kern w:val="0"/>
                <w:sz w:val="22"/>
                <w:szCs w:val="22"/>
                <w:u w:val="none"/>
                <w:lang w:val="en-US" w:eastAsia="zh-CN" w:bidi="ar"/>
              </w:rPr>
              <w:t>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护理辅助岗位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护理辅助岗位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护理辅助岗位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医技助理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文员（行政后勤管理方向）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文员（行政后勤管理方向）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文员（行政后勤管理方向）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文员（科室文秘方向）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文员（科室文秘方向）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文员（咨询服务方向）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文员（咨询服务方向）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物价员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仓库管理员（设备）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仓库管理员（药剂）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仓库管理员（后勤）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配送员（后勤）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配送员（设备）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配送员（药剂）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收费员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外包项目监督员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宿舍管理员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技术工人（锅炉工）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技术工人（司机）</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技术工人（电工）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技术工人（污水处理）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技术工人（氧气工）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消毒员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消防管理员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专项津贴（用于加班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宋体"/>
          <w:color w:val="auto"/>
          <w:kern w:val="0"/>
          <w:szCs w:val="21"/>
        </w:rPr>
      </w:pPr>
      <w:r>
        <w:rPr>
          <w:rFonts w:hint="eastAsia" w:ascii="宋体" w:hAnsi="宋体" w:cs="仿宋"/>
          <w:b/>
          <w:color w:val="auto"/>
          <w:szCs w:val="21"/>
        </w:rPr>
        <w:t>注：</w:t>
      </w:r>
      <w:r>
        <w:rPr>
          <w:rFonts w:hint="eastAsia" w:ascii="宋体" w:hAnsi="宋体" w:cs="宋体"/>
          <w:color w:val="auto"/>
          <w:kern w:val="0"/>
          <w:szCs w:val="21"/>
        </w:rPr>
        <w:t>1、上表为本项目三年内的计划服务人数，采购人有权按实际需要合理调整岗位、人数</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服务人员需求</w:t>
      </w:r>
      <w:r>
        <w:rPr>
          <w:rFonts w:hint="eastAsia" w:ascii="宋体" w:hAnsi="宋体" w:cs="宋体"/>
          <w:color w:val="auto"/>
          <w:kern w:val="0"/>
          <w:szCs w:val="21"/>
        </w:rPr>
        <w:t>，并根据实际</w:t>
      </w:r>
      <w:r>
        <w:rPr>
          <w:rFonts w:hint="eastAsia" w:ascii="宋体" w:hAnsi="宋体" w:cs="宋体"/>
          <w:color w:val="auto"/>
          <w:kern w:val="0"/>
          <w:szCs w:val="21"/>
          <w:lang w:val="en-US" w:eastAsia="zh-CN"/>
        </w:rPr>
        <w:t>情况</w:t>
      </w:r>
      <w:r>
        <w:rPr>
          <w:rFonts w:hint="eastAsia" w:ascii="宋体" w:hAnsi="宋体" w:cs="宋体"/>
          <w:color w:val="auto"/>
          <w:kern w:val="0"/>
          <w:szCs w:val="21"/>
        </w:rPr>
        <w:t>支付相应的服务费用。</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宋体"/>
          <w:b/>
          <w:bCs/>
          <w:color w:val="auto"/>
          <w:kern w:val="0"/>
          <w:szCs w:val="21"/>
        </w:rPr>
      </w:pPr>
      <w:r>
        <w:rPr>
          <w:rFonts w:hint="eastAsia" w:ascii="宋体" w:hAnsi="宋体" w:cs="宋体"/>
          <w:color w:val="auto"/>
          <w:kern w:val="0"/>
          <w:szCs w:val="21"/>
        </w:rPr>
        <w:t>2、专项津贴的使用由采购人根据实际情况决定，服务商根据采购人确认的专项津贴的实际使用金额数，在薪酬发放时一并发给服务外包人员</w:t>
      </w:r>
      <w:r>
        <w:rPr>
          <w:rFonts w:hint="eastAsia" w:ascii="宋体" w:hAnsi="宋体"/>
          <w:bCs/>
          <w:color w:val="auto"/>
        </w:rPr>
        <w:t>，采购人根据实际使用金额数与服务商进行结算</w:t>
      </w:r>
      <w:r>
        <w:rPr>
          <w:rFonts w:hint="eastAsia" w:ascii="宋体" w:hAnsi="宋体" w:cs="宋体"/>
          <w:color w:val="auto"/>
          <w:kern w:val="0"/>
          <w:szCs w:val="21"/>
        </w:rPr>
        <w:t>。</w:t>
      </w:r>
    </w:p>
    <w:p>
      <w:pPr>
        <w:widowControl/>
        <w:tabs>
          <w:tab w:val="left" w:pos="424"/>
          <w:tab w:val="left" w:pos="3240"/>
        </w:tabs>
        <w:spacing w:line="460" w:lineRule="exact"/>
        <w:jc w:val="left"/>
        <w:rPr>
          <w:rFonts w:hint="eastAsia" w:ascii="宋体" w:hAnsi="宋体"/>
          <w:b/>
          <w:color w:val="auto"/>
          <w:sz w:val="24"/>
          <w:szCs w:val="21"/>
        </w:rPr>
      </w:pPr>
      <w:r>
        <w:rPr>
          <w:rFonts w:hint="eastAsia" w:ascii="宋体" w:hAnsi="宋体"/>
          <w:b/>
          <w:color w:val="auto"/>
          <w:sz w:val="24"/>
          <w:szCs w:val="21"/>
        </w:rPr>
        <w:t>三、岗位要求</w:t>
      </w:r>
    </w:p>
    <w:p>
      <w:pPr>
        <w:widowControl/>
        <w:tabs>
          <w:tab w:val="left" w:pos="424"/>
          <w:tab w:val="left" w:pos="3240"/>
        </w:tabs>
        <w:spacing w:line="460" w:lineRule="exact"/>
        <w:rPr>
          <w:rFonts w:hint="eastAsia" w:ascii="宋体" w:hAnsi="宋体" w:eastAsia="宋体" w:cs="Times New Roman"/>
          <w:i w:val="0"/>
          <w:iCs w:val="0"/>
          <w:color w:val="auto"/>
          <w:kern w:val="2"/>
          <w:sz w:val="21"/>
          <w:szCs w:val="21"/>
          <w:u w:val="none"/>
          <w:lang w:val="en-US" w:eastAsia="zh-CN" w:bidi="ar"/>
        </w:rPr>
      </w:pPr>
      <w:r>
        <w:rPr>
          <w:rFonts w:hint="eastAsia" w:ascii="宋体" w:hAnsi="宋体" w:cs="Times New Roman"/>
          <w:bCs w:val="0"/>
          <w:i w:val="0"/>
          <w:iCs w:val="0"/>
          <w:color w:val="auto"/>
          <w:kern w:val="2"/>
          <w:sz w:val="21"/>
          <w:szCs w:val="21"/>
          <w:u w:val="none"/>
          <w:lang w:val="en-US" w:eastAsia="zh-CN" w:bidi="ar"/>
        </w:rPr>
        <w:t>1、遵守上级法律法规及医院规章制度，</w:t>
      </w:r>
      <w:r>
        <w:rPr>
          <w:rFonts w:hint="eastAsia" w:ascii="宋体" w:hAnsi="宋体" w:eastAsia="宋体" w:cs="Times New Roman"/>
          <w:i w:val="0"/>
          <w:iCs w:val="0"/>
          <w:color w:val="auto"/>
          <w:kern w:val="2"/>
          <w:sz w:val="21"/>
          <w:szCs w:val="21"/>
          <w:u w:val="none"/>
          <w:lang w:val="en-US" w:eastAsia="zh-CN" w:bidi="ar"/>
        </w:rPr>
        <w:t>能学习掌握医院各项管理规程。</w:t>
      </w:r>
    </w:p>
    <w:p>
      <w:pPr>
        <w:widowControl/>
        <w:tabs>
          <w:tab w:val="left" w:pos="424"/>
          <w:tab w:val="left" w:pos="3240"/>
        </w:tabs>
        <w:spacing w:line="460" w:lineRule="exact"/>
        <w:rPr>
          <w:rFonts w:hint="eastAsia" w:ascii="宋体" w:hAnsi="宋体" w:eastAsia="宋体" w:cs="Times New Roman"/>
          <w:i w:val="0"/>
          <w:iCs w:val="0"/>
          <w:color w:val="auto"/>
          <w:kern w:val="2"/>
          <w:sz w:val="21"/>
          <w:szCs w:val="21"/>
          <w:u w:val="none"/>
          <w:lang w:val="en-US" w:eastAsia="zh-CN" w:bidi="ar"/>
        </w:rPr>
      </w:pPr>
      <w:r>
        <w:rPr>
          <w:rFonts w:hint="eastAsia" w:ascii="宋体" w:hAnsi="宋体" w:cs="Times New Roman"/>
          <w:i w:val="0"/>
          <w:iCs w:val="0"/>
          <w:color w:val="auto"/>
          <w:kern w:val="2"/>
          <w:sz w:val="21"/>
          <w:szCs w:val="21"/>
          <w:u w:val="none"/>
          <w:lang w:val="en-US" w:eastAsia="zh-CN" w:bidi="ar"/>
        </w:rPr>
        <w:t>2、</w:t>
      </w:r>
      <w:r>
        <w:rPr>
          <w:rFonts w:hint="eastAsia" w:ascii="宋体" w:hAnsi="宋体" w:eastAsia="宋体" w:cs="Times New Roman"/>
          <w:i w:val="0"/>
          <w:iCs w:val="0"/>
          <w:color w:val="auto"/>
          <w:kern w:val="2"/>
          <w:sz w:val="21"/>
          <w:szCs w:val="21"/>
          <w:u w:val="none"/>
          <w:lang w:val="en-US" w:eastAsia="zh-CN" w:bidi="ar"/>
        </w:rPr>
        <w:t>具有责任心，有较强的沟通表达能力，应变能力强，工作积极主动，吃苦耐劳，有团队协作意识</w:t>
      </w:r>
      <w:r>
        <w:rPr>
          <w:rFonts w:hint="eastAsia" w:ascii="宋体" w:hAnsi="宋体" w:cs="Times New Roman"/>
          <w:i w:val="0"/>
          <w:iCs w:val="0"/>
          <w:color w:val="auto"/>
          <w:kern w:val="2"/>
          <w:sz w:val="21"/>
          <w:szCs w:val="21"/>
          <w:u w:val="none"/>
          <w:lang w:val="en-US" w:eastAsia="zh-CN" w:bidi="ar"/>
        </w:rPr>
        <w:t>，服从管理</w:t>
      </w:r>
      <w:r>
        <w:rPr>
          <w:rFonts w:hint="eastAsia" w:ascii="宋体" w:hAnsi="宋体" w:eastAsia="宋体" w:cs="Times New Roman"/>
          <w:i w:val="0"/>
          <w:iCs w:val="0"/>
          <w:color w:val="auto"/>
          <w:kern w:val="2"/>
          <w:sz w:val="21"/>
          <w:szCs w:val="21"/>
          <w:u w:val="none"/>
          <w:lang w:val="en-US" w:eastAsia="zh-CN" w:bidi="ar"/>
        </w:rPr>
        <w:t>。</w:t>
      </w:r>
    </w:p>
    <w:p>
      <w:pPr>
        <w:widowControl/>
        <w:tabs>
          <w:tab w:val="left" w:pos="424"/>
          <w:tab w:val="left" w:pos="3240"/>
        </w:tabs>
        <w:spacing w:line="460" w:lineRule="exact"/>
        <w:jc w:val="left"/>
        <w:rPr>
          <w:rFonts w:hint="eastAsia" w:ascii="宋体" w:hAnsi="宋体" w:eastAsia="宋体" w:cs="Times New Roman"/>
          <w:bCs w:val="0"/>
          <w:i w:val="0"/>
          <w:iCs w:val="0"/>
          <w:color w:val="auto"/>
          <w:kern w:val="2"/>
          <w:sz w:val="21"/>
          <w:szCs w:val="21"/>
          <w:u w:val="none"/>
          <w:lang w:val="en-US" w:eastAsia="zh-CN" w:bidi="ar"/>
        </w:rPr>
      </w:pPr>
      <w:r>
        <w:rPr>
          <w:rFonts w:hint="eastAsia" w:ascii="宋体" w:hAnsi="宋体" w:cs="Times New Roman"/>
          <w:i w:val="0"/>
          <w:iCs w:val="0"/>
          <w:color w:val="auto"/>
          <w:kern w:val="2"/>
          <w:sz w:val="21"/>
          <w:szCs w:val="21"/>
          <w:u w:val="none"/>
          <w:lang w:val="en-US" w:eastAsia="zh-CN" w:bidi="ar"/>
        </w:rPr>
        <w:t>3</w:t>
      </w:r>
      <w:r>
        <w:rPr>
          <w:rFonts w:hint="eastAsia" w:ascii="宋体" w:hAnsi="宋体" w:cs="Times New Roman"/>
          <w:i w:val="0"/>
          <w:iCs w:val="0"/>
          <w:color w:val="auto"/>
          <w:kern w:val="2"/>
          <w:sz w:val="21"/>
          <w:szCs w:val="21"/>
          <w:u w:val="none"/>
          <w:lang w:val="en-US" w:eastAsia="zh-CN" w:bidi="ar"/>
        </w:rPr>
        <w:t>、</w:t>
      </w:r>
      <w:r>
        <w:rPr>
          <w:rFonts w:hint="eastAsia" w:ascii="宋体" w:hAnsi="宋体" w:eastAsia="宋体" w:cs="Times New Roman"/>
          <w:i w:val="0"/>
          <w:iCs w:val="0"/>
          <w:color w:val="auto"/>
          <w:kern w:val="2"/>
          <w:sz w:val="21"/>
          <w:szCs w:val="21"/>
          <w:u w:val="none"/>
          <w:lang w:val="en-US" w:eastAsia="zh-CN" w:bidi="ar"/>
        </w:rPr>
        <w:t>具有</w:t>
      </w:r>
      <w:r>
        <w:rPr>
          <w:rFonts w:hint="eastAsia" w:ascii="宋体" w:hAnsi="宋体" w:cs="Times New Roman"/>
          <w:bCs w:val="0"/>
          <w:i w:val="0"/>
          <w:iCs w:val="0"/>
          <w:color w:val="auto"/>
          <w:kern w:val="2"/>
          <w:sz w:val="21"/>
          <w:szCs w:val="21"/>
          <w:u w:val="none"/>
          <w:lang w:val="en-US" w:eastAsia="zh-CN" w:bidi="ar"/>
        </w:rPr>
        <w:t>与所在岗位相匹配的</w:t>
      </w:r>
      <w:r>
        <w:rPr>
          <w:rFonts w:hint="eastAsia" w:ascii="宋体" w:hAnsi="宋体" w:eastAsia="宋体" w:cs="Times New Roman"/>
          <w:i w:val="0"/>
          <w:iCs w:val="0"/>
          <w:color w:val="auto"/>
          <w:kern w:val="2"/>
          <w:sz w:val="21"/>
          <w:szCs w:val="21"/>
          <w:u w:val="none"/>
          <w:lang w:val="en-US" w:eastAsia="zh-CN" w:bidi="ar"/>
        </w:rPr>
        <w:t>扎实专业理论基础和实践技能</w:t>
      </w:r>
      <w:r>
        <w:rPr>
          <w:rFonts w:hint="eastAsia" w:ascii="宋体" w:hAnsi="宋体" w:cs="Times New Roman"/>
          <w:i w:val="0"/>
          <w:iCs w:val="0"/>
          <w:color w:val="auto"/>
          <w:kern w:val="2"/>
          <w:sz w:val="21"/>
          <w:szCs w:val="21"/>
          <w:u w:val="none"/>
          <w:lang w:val="en-US" w:eastAsia="zh-CN" w:bidi="ar"/>
        </w:rPr>
        <w:t>，胜任本职工作</w:t>
      </w:r>
      <w:r>
        <w:rPr>
          <w:rFonts w:hint="eastAsia" w:ascii="宋体" w:hAnsi="宋体" w:eastAsia="宋体" w:cs="Times New Roman"/>
          <w:i w:val="0"/>
          <w:iCs w:val="0"/>
          <w:color w:val="auto"/>
          <w:kern w:val="2"/>
          <w:sz w:val="21"/>
          <w:szCs w:val="21"/>
          <w:u w:val="none"/>
          <w:lang w:val="en-US" w:eastAsia="zh-CN" w:bidi="ar"/>
        </w:rPr>
        <w:t>。</w:t>
      </w:r>
    </w:p>
    <w:p>
      <w:pPr>
        <w:widowControl/>
        <w:tabs>
          <w:tab w:val="left" w:pos="424"/>
          <w:tab w:val="left" w:pos="3240"/>
        </w:tabs>
        <w:spacing w:line="460" w:lineRule="exact"/>
        <w:jc w:val="left"/>
        <w:rPr>
          <w:rFonts w:ascii="宋体" w:hAnsi="宋体"/>
          <w:b/>
          <w:color w:val="auto"/>
          <w:sz w:val="24"/>
          <w:szCs w:val="21"/>
        </w:rPr>
      </w:pPr>
      <w:r>
        <w:rPr>
          <w:rFonts w:hint="eastAsia" w:ascii="宋体" w:hAnsi="宋体"/>
          <w:b/>
          <w:color w:val="auto"/>
          <w:sz w:val="24"/>
          <w:szCs w:val="21"/>
        </w:rPr>
        <w:t>四、项目基本要求</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auto"/>
          <w:szCs w:val="21"/>
        </w:rPr>
      </w:pPr>
      <w:r>
        <w:rPr>
          <w:rFonts w:hint="eastAsia" w:ascii="宋体" w:hAnsi="宋体" w:cs="仿宋"/>
          <w:color w:val="auto"/>
          <w:szCs w:val="21"/>
        </w:rPr>
        <w:t>1、服务商须设项目负责人1名，负责日常事务管理，协调处理与采购人之间的关系；设招聘专员1名，专门负责本项目的招聘工作。</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color w:val="auto"/>
          <w:szCs w:val="21"/>
        </w:rPr>
      </w:pPr>
      <w:r>
        <w:rPr>
          <w:rFonts w:ascii="宋体" w:hAnsi="宋体" w:cs="仿宋"/>
          <w:color w:val="auto"/>
          <w:szCs w:val="21"/>
        </w:rPr>
        <w:t>2</w:t>
      </w:r>
      <w:r>
        <w:rPr>
          <w:rFonts w:hint="eastAsia" w:ascii="宋体" w:hAnsi="宋体" w:cs="仿宋"/>
          <w:color w:val="auto"/>
          <w:szCs w:val="21"/>
        </w:rPr>
        <w:t>、服务商协助采购人组织外包人员的服务安排、前期培训、证书管理及更新服务、工作管理、日常考核等，加强日常人员管理、教育，随时派员协助采购人处理人员管理中存在的问题，及时协调解决服务期间采购人提出的问题。</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color w:val="auto"/>
          <w:szCs w:val="21"/>
        </w:rPr>
      </w:pPr>
      <w:r>
        <w:rPr>
          <w:rFonts w:hint="eastAsia" w:ascii="宋体" w:hAnsi="宋体" w:cs="仿宋"/>
          <w:color w:val="auto"/>
          <w:szCs w:val="21"/>
        </w:rPr>
        <w:t>3、服务商的服务人员必须符合采购人对该服务人员的要求（具体的人员考核标准可以由采购人与服务商签订服务合同时，参照医院规章制度、处罚条款，咨询各用人部门后制定实施）。凡有违法违纪、作风品德恶劣、工作能力低下不能胜任者，或两次考核不合格的服务人员，采购人有权要求服务商更换，服务商必须及时且无条件地为采购人更换合格的人员，相关费用由服务商负担。</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color w:val="auto"/>
          <w:szCs w:val="21"/>
        </w:rPr>
      </w:pPr>
      <w:r>
        <w:rPr>
          <w:rFonts w:hint="eastAsia" w:ascii="宋体" w:hAnsi="宋体" w:cs="仿宋"/>
          <w:color w:val="auto"/>
          <w:szCs w:val="21"/>
        </w:rPr>
        <w:t>4、如</w:t>
      </w:r>
      <w:r>
        <w:rPr>
          <w:rFonts w:hint="eastAsia"/>
          <w:color w:val="auto"/>
          <w:szCs w:val="21"/>
        </w:rPr>
        <w:t>因特殊情况或工作要求</w:t>
      </w:r>
      <w:r>
        <w:rPr>
          <w:rFonts w:hint="eastAsia" w:ascii="宋体" w:hAnsi="宋体"/>
          <w:color w:val="auto"/>
        </w:rPr>
        <w:t>需</w:t>
      </w:r>
      <w:r>
        <w:rPr>
          <w:rFonts w:hint="eastAsia"/>
          <w:color w:val="auto"/>
          <w:szCs w:val="21"/>
        </w:rPr>
        <w:t>承担加班、外派等工作的，服务</w:t>
      </w:r>
      <w:r>
        <w:rPr>
          <w:rFonts w:hint="eastAsia" w:ascii="宋体" w:hAnsi="宋体"/>
          <w:color w:val="auto"/>
        </w:rPr>
        <w:t>人员须服从采购人的安排。</w:t>
      </w:r>
      <w:r>
        <w:rPr>
          <w:color w:val="auto"/>
          <w:szCs w:val="21"/>
        </w:rPr>
        <w:t xml:space="preserve"> </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color w:val="auto"/>
          <w:szCs w:val="21"/>
        </w:rPr>
      </w:pPr>
      <w:r>
        <w:rPr>
          <w:rFonts w:hint="eastAsia" w:ascii="宋体" w:hAnsi="宋体" w:cs="仿宋"/>
          <w:color w:val="auto"/>
          <w:szCs w:val="21"/>
        </w:rPr>
        <w:t>5、实发工资不得低于当年本市最低工资标准。实发工资是指扣除五险一金（养老保险、医疗保险、工伤保险、失业保险、生育保险、住房公积金），扣除加班加点的工资、特殊工作环境、条件下的津贴、其他法律法规和国家规定的劳动者福利待遇后的工资。</w:t>
      </w:r>
    </w:p>
    <w:p>
      <w:pPr>
        <w:pStyle w:val="24"/>
        <w:widowControl/>
        <w:tabs>
          <w:tab w:val="left" w:pos="315"/>
          <w:tab w:val="left" w:pos="426"/>
          <w:tab w:val="left" w:pos="993"/>
          <w:tab w:val="left" w:pos="1134"/>
          <w:tab w:val="left" w:pos="1592"/>
          <w:tab w:val="left" w:pos="3240"/>
        </w:tabs>
        <w:snapToGrid w:val="0"/>
        <w:spacing w:line="460" w:lineRule="exact"/>
        <w:ind w:right="-237" w:firstLine="0" w:firstLineChars="0"/>
        <w:jc w:val="left"/>
        <w:rPr>
          <w:color w:val="auto"/>
          <w:szCs w:val="21"/>
        </w:rPr>
      </w:pPr>
      <w:r>
        <w:rPr>
          <w:rFonts w:ascii="宋体" w:hAnsi="宋体" w:cs="仿宋"/>
          <w:color w:val="auto"/>
          <w:szCs w:val="21"/>
        </w:rPr>
        <w:t>6</w:t>
      </w:r>
      <w:r>
        <w:rPr>
          <w:rFonts w:hint="eastAsia" w:ascii="宋体" w:hAnsi="宋体" w:cs="仿宋"/>
          <w:color w:val="auto"/>
          <w:szCs w:val="21"/>
        </w:rPr>
        <w:t>、服务商应按国家、省、市有关法律法规与本项目的服务人员签订正式劳动合同</w:t>
      </w:r>
      <w:r>
        <w:rPr>
          <w:rFonts w:hint="eastAsia" w:ascii="宋体" w:hAnsi="宋体"/>
          <w:color w:val="auto"/>
          <w:szCs w:val="21"/>
        </w:rPr>
        <w:t>及薪酬发放、</w:t>
      </w:r>
      <w:r>
        <w:rPr>
          <w:rFonts w:hint="eastAsia" w:ascii="宋体" w:hAnsi="宋体" w:cs="仿宋"/>
          <w:color w:val="auto"/>
          <w:szCs w:val="21"/>
        </w:rPr>
        <w:t>缴交社会保险和住房公积金、购买意外保险及办理个人所得税代扣代缴，</w:t>
      </w:r>
      <w:r>
        <w:rPr>
          <w:rFonts w:hint="eastAsia" w:ascii="宋体" w:hAnsi="宋体"/>
          <w:color w:val="auto"/>
          <w:szCs w:val="21"/>
        </w:rPr>
        <w:t>服务商</w:t>
      </w:r>
      <w:r>
        <w:rPr>
          <w:rFonts w:hint="eastAsia"/>
          <w:color w:val="auto"/>
          <w:szCs w:val="21"/>
        </w:rPr>
        <w:t>必须缴纳服务人员五险一金（养老保险、医疗保险、工伤保险、失业保险、生育保险、住房公积金）单位负担部分。如因国家或地方政策影响、经济环境变化造成包括基本工资在内的整体项目实施费用浮动风险，成本增加，须由服务商全部承担，</w:t>
      </w:r>
      <w:r>
        <w:rPr>
          <w:rFonts w:hint="eastAsia" w:ascii="宋体" w:hAnsi="宋体"/>
          <w:color w:val="auto"/>
          <w:szCs w:val="21"/>
        </w:rPr>
        <w:t>采购人不另外支付任何费用。</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color w:val="auto"/>
          <w:szCs w:val="21"/>
        </w:rPr>
      </w:pPr>
      <w:r>
        <w:rPr>
          <w:rFonts w:ascii="宋体" w:hAnsi="宋体" w:cs="仿宋"/>
          <w:color w:val="auto"/>
          <w:szCs w:val="21"/>
        </w:rPr>
        <w:t>7</w:t>
      </w:r>
      <w:r>
        <w:rPr>
          <w:rFonts w:hint="eastAsia" w:ascii="宋体" w:hAnsi="宋体" w:cs="仿宋"/>
          <w:color w:val="auto"/>
          <w:szCs w:val="21"/>
        </w:rPr>
        <w:t>、服务商支付给员工的薪酬必须公开透明，</w:t>
      </w:r>
      <w:r>
        <w:rPr>
          <w:rFonts w:hint="eastAsia"/>
          <w:color w:val="auto"/>
          <w:szCs w:val="21"/>
        </w:rPr>
        <w:t>每月将本项目所有外包人员收入清单提交医院人事部门备案。</w:t>
      </w:r>
      <w:r>
        <w:rPr>
          <w:rFonts w:hint="eastAsia" w:ascii="宋体" w:hAnsi="宋体" w:cs="仿宋"/>
          <w:color w:val="auto"/>
          <w:szCs w:val="21"/>
        </w:rPr>
        <w:t>采购人有权核实每个月支付的所有薪酬费用（包括所购买的社保等福利），服务商不得无故扣减或变相扣减岗位人员的工资、奖金及其他福利，如所支付的薪金不符合标准或支付的薪金账目有违法违规情况，服务商将承担一切的法律责任或刑事责任。若服务外包人员出勤不足</w:t>
      </w:r>
      <w:r>
        <w:rPr>
          <w:rFonts w:ascii="宋体" w:hAnsi="宋体" w:cs="仿宋"/>
          <w:color w:val="auto"/>
          <w:szCs w:val="21"/>
        </w:rPr>
        <w:t>1个月的(孕期、产期、哺乳期员工除外)，该月服务外包人员的基本工资,岗位津贴和绩效奖金部分，甲方可按缺岗天数作相应扣减，但除此之外的费用则需按整月结算。</w:t>
      </w:r>
    </w:p>
    <w:p>
      <w:pPr>
        <w:pStyle w:val="24"/>
        <w:widowControl/>
        <w:tabs>
          <w:tab w:val="left" w:pos="315"/>
          <w:tab w:val="left" w:pos="426"/>
          <w:tab w:val="left" w:pos="993"/>
          <w:tab w:val="left" w:pos="1592"/>
        </w:tabs>
        <w:snapToGrid w:val="0"/>
        <w:spacing w:line="460" w:lineRule="exact"/>
        <w:ind w:right="-237" w:firstLine="0" w:firstLineChars="0"/>
        <w:rPr>
          <w:rFonts w:ascii="宋体" w:hAnsi="宋体" w:cs="仿宋"/>
          <w:color w:val="auto"/>
          <w:szCs w:val="21"/>
        </w:rPr>
      </w:pPr>
      <w:r>
        <w:rPr>
          <w:rFonts w:hint="eastAsia" w:ascii="宋体" w:hAnsi="宋体" w:cs="仿宋"/>
          <w:color w:val="auto"/>
          <w:szCs w:val="21"/>
          <w:lang w:val="en-US" w:eastAsia="zh-CN"/>
        </w:rPr>
        <w:t>8</w:t>
      </w:r>
      <w:r>
        <w:rPr>
          <w:rFonts w:hint="eastAsia" w:ascii="宋体" w:hAnsi="宋体" w:cs="仿宋"/>
          <w:color w:val="auto"/>
          <w:szCs w:val="21"/>
        </w:rPr>
        <w:t>、服务商应每年为外包人员进行体检，以保证服务人员的健康状况符合所从事的工作要求，体检费用由服务商负担。</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color w:val="auto"/>
          <w:szCs w:val="21"/>
        </w:rPr>
      </w:pPr>
      <w:r>
        <w:rPr>
          <w:rFonts w:hint="eastAsia" w:ascii="宋体" w:hAnsi="宋体" w:cs="仿宋"/>
          <w:color w:val="auto"/>
          <w:szCs w:val="21"/>
          <w:lang w:val="en-US" w:eastAsia="zh-CN"/>
        </w:rPr>
        <w:t>9</w:t>
      </w:r>
      <w:r>
        <w:rPr>
          <w:rFonts w:hint="eastAsia" w:ascii="宋体" w:hAnsi="宋体" w:cs="仿宋"/>
          <w:color w:val="auto"/>
          <w:szCs w:val="21"/>
        </w:rPr>
        <w:t>、服务商的服务人员应严格遵守采购人的规章制度、劳动纪律，服从和执行采购人的工作安排及调度，接受采购人的检查监督。不服从采购人正常工作管理以及违反采购人劳动纪律的，采购人有权提出更换人选，服务商必须按采购人意见予以更换。</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lang w:val="en-US" w:eastAsia="zh-CN"/>
        </w:rPr>
        <w:t>0</w:t>
      </w:r>
      <w:r>
        <w:rPr>
          <w:rFonts w:hint="eastAsia" w:ascii="宋体" w:hAnsi="宋体" w:cs="仿宋"/>
          <w:color w:val="auto"/>
          <w:szCs w:val="21"/>
        </w:rPr>
        <w:t>、服务商的服务人员若发生病、伤、残、亡等情形，均由服务商负责处理并承担相关费用，若因此需更换补充人员，由服务商及时补充，由此产生的费用由服务商负责。</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lang w:val="en-US" w:eastAsia="zh-CN"/>
        </w:rPr>
        <w:t>1</w:t>
      </w:r>
      <w:r>
        <w:rPr>
          <w:rFonts w:hint="eastAsia" w:ascii="宋体" w:hAnsi="宋体" w:cs="仿宋"/>
          <w:color w:val="auto"/>
          <w:szCs w:val="21"/>
        </w:rPr>
        <w:t>、若因服务人员劳动合同终止（或解除）所产生的经济补偿或经济赔偿等相关费用由服务商承担。</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lang w:val="en-US" w:eastAsia="zh-CN"/>
        </w:rPr>
        <w:t>2</w:t>
      </w:r>
      <w:r>
        <w:rPr>
          <w:rFonts w:hint="eastAsia" w:ascii="宋体" w:hAnsi="宋体" w:cs="仿宋"/>
          <w:color w:val="auto"/>
          <w:szCs w:val="21"/>
        </w:rPr>
        <w:t>、由于服务商管理不善，或因服务人员的过失给采购人造成损失的，服务商应赔偿采购人的损失，采购人配合服务商按有关法规对相关责任方进行追偿。服务期内，服务商的服务人员发生各种事故，包括安全、交通、防火、工伤和劳资纠纷等事件均由服务商承担相应责任，并负责由此产生的费用。</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lang w:val="en-US" w:eastAsia="zh-CN"/>
        </w:rPr>
        <w:t>3</w:t>
      </w:r>
      <w:r>
        <w:rPr>
          <w:rFonts w:hint="eastAsia" w:ascii="宋体" w:hAnsi="宋体" w:cs="仿宋"/>
          <w:color w:val="auto"/>
          <w:szCs w:val="21"/>
        </w:rPr>
        <w:t>、按照国家有关法律法规的相关规定，服务商做好服务人员的计划生育管理工作并承担相应的责任。</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auto"/>
          <w:szCs w:val="21"/>
        </w:rPr>
      </w:pPr>
      <w:r>
        <w:rPr>
          <w:rFonts w:ascii="宋体" w:hAnsi="宋体" w:cs="仿宋"/>
          <w:color w:val="auto"/>
          <w:szCs w:val="21"/>
        </w:rPr>
        <w:t>1</w:t>
      </w:r>
      <w:r>
        <w:rPr>
          <w:rFonts w:hint="eastAsia" w:ascii="宋体" w:hAnsi="宋体" w:cs="仿宋"/>
          <w:color w:val="auto"/>
          <w:szCs w:val="21"/>
          <w:lang w:val="en-US" w:eastAsia="zh-CN"/>
        </w:rPr>
        <w:t>4</w:t>
      </w:r>
      <w:r>
        <w:rPr>
          <w:rFonts w:hint="eastAsia" w:ascii="宋体" w:hAnsi="宋体" w:cs="仿宋"/>
          <w:color w:val="auto"/>
          <w:szCs w:val="21"/>
        </w:rPr>
        <w:t>、服务商应按照国家有关规定成立工会组织，做好服务人员的工会管理工作并承担相应责任。</w:t>
      </w:r>
    </w:p>
    <w:p>
      <w:pPr>
        <w:pStyle w:val="24"/>
        <w:widowControl/>
        <w:tabs>
          <w:tab w:val="left" w:pos="315"/>
          <w:tab w:val="left" w:pos="426"/>
          <w:tab w:val="left" w:pos="993"/>
          <w:tab w:val="left" w:pos="1134"/>
          <w:tab w:val="left" w:pos="1592"/>
        </w:tabs>
        <w:snapToGrid w:val="0"/>
        <w:spacing w:line="460" w:lineRule="exact"/>
        <w:ind w:right="-237" w:firstLine="0" w:firstLineChars="0"/>
        <w:rPr>
          <w:rFonts w:hint="eastAsia" w:ascii="宋体" w:hAnsi="宋体" w:cs="仿宋"/>
          <w:color w:val="auto"/>
          <w:szCs w:val="21"/>
        </w:rPr>
      </w:pPr>
      <w:r>
        <w:rPr>
          <w:rFonts w:hint="eastAsia" w:ascii="宋体" w:hAnsi="宋体" w:cs="仿宋"/>
          <w:color w:val="auto"/>
          <w:szCs w:val="21"/>
        </w:rPr>
        <w:t>1</w:t>
      </w:r>
      <w:r>
        <w:rPr>
          <w:rFonts w:hint="eastAsia" w:ascii="宋体" w:hAnsi="宋体" w:cs="仿宋"/>
          <w:color w:val="auto"/>
          <w:szCs w:val="21"/>
          <w:lang w:val="en-US" w:eastAsia="zh-CN"/>
        </w:rPr>
        <w:t>5</w:t>
      </w:r>
      <w:r>
        <w:rPr>
          <w:rFonts w:hint="eastAsia" w:ascii="宋体" w:hAnsi="宋体" w:cs="仿宋"/>
          <w:color w:val="auto"/>
          <w:szCs w:val="21"/>
        </w:rPr>
        <w:t>、</w:t>
      </w:r>
      <w:r>
        <w:rPr>
          <w:rFonts w:hint="eastAsia" w:ascii="宋体" w:hAnsi="宋体" w:cs="仿宋"/>
          <w:color w:val="auto"/>
          <w:szCs w:val="21"/>
          <w:highlight w:val="yellow"/>
        </w:rPr>
        <w:t>服务期内，因特殊情况需调整服务外包岗位薪酬方案的，须经甲乙双方共同协商同意后，方可调整。调整后的服务外包岗位薪酬方案一式两份，双方签字确认后存档。</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auto"/>
          <w:szCs w:val="21"/>
        </w:rPr>
      </w:pPr>
    </w:p>
    <w:p>
      <w:pPr>
        <w:widowControl/>
        <w:tabs>
          <w:tab w:val="left" w:pos="424"/>
          <w:tab w:val="left" w:pos="3240"/>
        </w:tabs>
        <w:spacing w:line="460" w:lineRule="exact"/>
        <w:jc w:val="left"/>
        <w:rPr>
          <w:rFonts w:ascii="宋体" w:hAnsi="宋体"/>
          <w:b/>
          <w:color w:val="auto"/>
          <w:szCs w:val="21"/>
        </w:rPr>
      </w:pPr>
      <w:r>
        <w:rPr>
          <w:rFonts w:hint="eastAsia" w:ascii="宋体" w:hAnsi="宋体"/>
          <w:b/>
          <w:color w:val="auto"/>
          <w:szCs w:val="21"/>
        </w:rPr>
        <w:t>五、报价要求</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1、报价应包括：服务人员工资、福利、</w:t>
      </w:r>
      <w:r>
        <w:rPr>
          <w:rFonts w:hint="eastAsia" w:ascii="宋体" w:hAnsi="宋体"/>
          <w:color w:val="auto"/>
        </w:rPr>
        <w:t>服装、</w:t>
      </w:r>
      <w:r>
        <w:rPr>
          <w:rFonts w:hint="eastAsia" w:ascii="宋体" w:hAnsi="宋体"/>
          <w:color w:val="auto"/>
          <w:szCs w:val="21"/>
        </w:rPr>
        <w:t>五险一金</w:t>
      </w:r>
      <w:r>
        <w:rPr>
          <w:rFonts w:hint="eastAsia" w:ascii="宋体" w:hAnsi="宋体" w:cs="仿宋"/>
          <w:color w:val="auto"/>
          <w:szCs w:val="21"/>
        </w:rPr>
        <w:t>（养老保险、医疗保险、工伤保险、失业保险、生育保险、住房公积金）</w:t>
      </w:r>
      <w:r>
        <w:rPr>
          <w:rFonts w:hint="eastAsia" w:ascii="宋体" w:hAnsi="宋体"/>
          <w:color w:val="auto"/>
          <w:szCs w:val="21"/>
        </w:rPr>
        <w:t>、</w:t>
      </w:r>
      <w:r>
        <w:rPr>
          <w:rFonts w:hint="eastAsia" w:ascii="宋体" w:hAnsi="宋体" w:cs="宋体"/>
          <w:color w:val="auto"/>
          <w:sz w:val="19"/>
          <w:szCs w:val="19"/>
        </w:rPr>
        <w:t>专项津贴、</w:t>
      </w:r>
      <w:r>
        <w:rPr>
          <w:rFonts w:hint="eastAsia" w:ascii="宋体" w:hAnsi="宋体"/>
          <w:color w:val="auto"/>
          <w:szCs w:val="21"/>
        </w:rPr>
        <w:t>各项税费、</w:t>
      </w:r>
      <w:r>
        <w:rPr>
          <w:rFonts w:hint="eastAsia" w:ascii="宋体" w:hAnsi="宋体" w:cs="宋体"/>
          <w:color w:val="auto"/>
          <w:sz w:val="19"/>
          <w:szCs w:val="19"/>
        </w:rPr>
        <w:t>政策性费用、</w:t>
      </w:r>
      <w:r>
        <w:rPr>
          <w:rFonts w:hint="eastAsia" w:ascii="宋体" w:hAnsi="宋体"/>
          <w:color w:val="auto"/>
          <w:szCs w:val="21"/>
        </w:rPr>
        <w:t>运营成本（包括管理费用、财务费用等）等本项目实施的所有费用及合理利润。</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2、响应文件需列明每个服务人员的具体费用，以及第1年、第2年、第3年服务费年度小计，三年汇总金额作为总报价。</w:t>
      </w:r>
    </w:p>
    <w:p>
      <w:pPr>
        <w:widowControl/>
        <w:tabs>
          <w:tab w:val="left" w:pos="424"/>
          <w:tab w:val="left" w:pos="3240"/>
        </w:tabs>
        <w:spacing w:line="460" w:lineRule="exact"/>
        <w:jc w:val="left"/>
        <w:rPr>
          <w:rFonts w:ascii="宋体" w:hAnsi="宋体"/>
          <w:b/>
          <w:color w:val="auto"/>
          <w:szCs w:val="21"/>
        </w:rPr>
      </w:pPr>
    </w:p>
    <w:p>
      <w:pPr>
        <w:widowControl/>
        <w:tabs>
          <w:tab w:val="left" w:pos="424"/>
          <w:tab w:val="left" w:pos="3240"/>
        </w:tabs>
        <w:spacing w:line="460" w:lineRule="exact"/>
        <w:jc w:val="left"/>
        <w:rPr>
          <w:rFonts w:ascii="宋体" w:hAnsi="宋体"/>
          <w:b/>
          <w:color w:val="auto"/>
          <w:szCs w:val="21"/>
        </w:rPr>
      </w:pPr>
      <w:r>
        <w:rPr>
          <w:rFonts w:hint="eastAsia" w:ascii="宋体" w:hAnsi="宋体"/>
          <w:b/>
          <w:color w:val="auto"/>
          <w:szCs w:val="21"/>
        </w:rPr>
        <w:t>六、其他要求</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1、服务人员工作时间：每周工作40小时。</w:t>
      </w:r>
      <w:r>
        <w:rPr>
          <w:rFonts w:hint="eastAsia" w:ascii="宋体" w:hAnsi="宋体"/>
          <w:color w:val="auto"/>
        </w:rPr>
        <w:t>节假日按国家法定假期休息，因工作需要不能安排休息的则由科室安排调休，外包服务方的服务人员必须遵守采购人的各项规章制度。</w:t>
      </w:r>
    </w:p>
    <w:p>
      <w:pPr>
        <w:widowControl/>
        <w:tabs>
          <w:tab w:val="left" w:pos="424"/>
          <w:tab w:val="left" w:pos="3240"/>
        </w:tabs>
        <w:spacing w:line="460" w:lineRule="exact"/>
        <w:jc w:val="left"/>
        <w:rPr>
          <w:rFonts w:ascii="宋体" w:hAnsi="宋体"/>
          <w:color w:val="auto"/>
          <w:szCs w:val="21"/>
        </w:rPr>
      </w:pPr>
      <w:r>
        <w:rPr>
          <w:rFonts w:ascii="宋体" w:hAnsi="宋体"/>
          <w:color w:val="auto"/>
          <w:szCs w:val="21"/>
        </w:rPr>
        <w:t>2</w:t>
      </w:r>
      <w:r>
        <w:rPr>
          <w:rFonts w:hint="eastAsia" w:ascii="宋体" w:hAnsi="宋体"/>
          <w:color w:val="auto"/>
          <w:szCs w:val="21"/>
        </w:rPr>
        <w:t>、服务商承担服务项目需求所包含的具体实施工作及其他的配套服务，做好针对本项目的日常招聘和应急方案，常规岗位1个月以内招聘到岗，特殊、紧急岗位15日以内招聘到岗，如有人员离岗，需提前一个月向采购人报备。</w:t>
      </w:r>
    </w:p>
    <w:p>
      <w:pPr>
        <w:widowControl/>
        <w:tabs>
          <w:tab w:val="left" w:pos="424"/>
          <w:tab w:val="left" w:pos="3240"/>
        </w:tabs>
        <w:spacing w:line="460" w:lineRule="exact"/>
        <w:jc w:val="left"/>
        <w:rPr>
          <w:rFonts w:ascii="宋体" w:hAnsi="宋体"/>
          <w:color w:val="auto"/>
          <w:szCs w:val="21"/>
        </w:rPr>
      </w:pPr>
      <w:r>
        <w:rPr>
          <w:rFonts w:ascii="宋体" w:hAnsi="宋体"/>
          <w:color w:val="auto"/>
          <w:szCs w:val="21"/>
        </w:rPr>
        <w:t>3</w:t>
      </w:r>
      <w:r>
        <w:rPr>
          <w:rFonts w:hint="eastAsia" w:ascii="宋体" w:hAnsi="宋体"/>
          <w:color w:val="auto"/>
          <w:szCs w:val="21"/>
        </w:rPr>
        <w:t>、服务商签订合同前必须按照国家相关保密规定和采购人签订《保密协议》，对违反《保密协议》相关内容规定的，采购人有权追究其法律责任。</w:t>
      </w:r>
    </w:p>
    <w:p>
      <w:pPr>
        <w:widowControl/>
        <w:tabs>
          <w:tab w:val="left" w:pos="424"/>
          <w:tab w:val="left" w:pos="3240"/>
        </w:tabs>
        <w:spacing w:line="460" w:lineRule="exact"/>
        <w:jc w:val="left"/>
        <w:rPr>
          <w:rFonts w:ascii="宋体" w:hAnsi="宋体"/>
          <w:color w:val="auto"/>
          <w:szCs w:val="21"/>
        </w:rPr>
      </w:pPr>
      <w:r>
        <w:rPr>
          <w:rFonts w:ascii="宋体" w:hAnsi="宋体"/>
          <w:color w:val="auto"/>
          <w:szCs w:val="21"/>
        </w:rPr>
        <w:t>4</w:t>
      </w:r>
      <w:r>
        <w:rPr>
          <w:rFonts w:hint="eastAsia" w:ascii="宋体" w:hAnsi="宋体"/>
          <w:color w:val="auto"/>
          <w:szCs w:val="21"/>
        </w:rPr>
        <w:t>、为确保外包人员能胜任服务要求，拟派外包人员须经采购人审核确认后方能安排工作。未经采购人审核确认的人员，采购人不接受其工作安排，服务商与其签订劳动合同而承担的法律责任与采购人无关。</w:t>
      </w:r>
    </w:p>
    <w:p>
      <w:pPr>
        <w:widowControl/>
        <w:tabs>
          <w:tab w:val="left" w:pos="424"/>
          <w:tab w:val="left" w:pos="3240"/>
        </w:tabs>
        <w:spacing w:line="460" w:lineRule="exact"/>
        <w:jc w:val="left"/>
        <w:rPr>
          <w:rFonts w:ascii="宋体" w:hAnsi="宋体"/>
          <w:color w:val="auto"/>
          <w:szCs w:val="21"/>
        </w:rPr>
      </w:pPr>
      <w:r>
        <w:rPr>
          <w:rFonts w:ascii="宋体" w:hAnsi="宋体"/>
          <w:color w:val="auto"/>
          <w:szCs w:val="21"/>
        </w:rPr>
        <w:t>5</w:t>
      </w:r>
      <w:r>
        <w:rPr>
          <w:rFonts w:hint="eastAsia" w:ascii="宋体" w:hAnsi="宋体"/>
          <w:color w:val="auto"/>
          <w:szCs w:val="21"/>
        </w:rPr>
        <w:t>、服务商必须就采购人提供的全部内容和服务要求做出回应，提供切合该服务项目的整体解决方案，并在项目范围内完成指定的工作和负责解决全部的服务中遇到的问题。</w:t>
      </w:r>
    </w:p>
    <w:p>
      <w:pPr>
        <w:widowControl/>
        <w:tabs>
          <w:tab w:val="left" w:pos="424"/>
          <w:tab w:val="left" w:pos="3240"/>
        </w:tabs>
        <w:spacing w:line="460" w:lineRule="exact"/>
        <w:jc w:val="left"/>
        <w:rPr>
          <w:rFonts w:ascii="宋体" w:hAnsi="宋体"/>
          <w:bCs/>
          <w:color w:val="auto"/>
        </w:rPr>
      </w:pPr>
      <w:r>
        <w:rPr>
          <w:rFonts w:ascii="宋体" w:hAnsi="宋体"/>
          <w:bCs/>
          <w:color w:val="auto"/>
        </w:rPr>
        <w:t>6</w:t>
      </w:r>
      <w:r>
        <w:rPr>
          <w:rFonts w:hint="eastAsia" w:ascii="宋体" w:hAnsi="宋体"/>
          <w:bCs/>
          <w:color w:val="auto"/>
        </w:rPr>
        <w:t>、其他涉及本项目的有关事项，在采购确定服务商后，按照双方合同约定执行；未尽事宜或遇客观情况变更，由采购人与服务商在合同期内以补充协议方式约定后执行。</w:t>
      </w:r>
    </w:p>
    <w:p>
      <w:pPr>
        <w:widowControl/>
        <w:tabs>
          <w:tab w:val="left" w:pos="424"/>
          <w:tab w:val="left" w:pos="3240"/>
        </w:tabs>
        <w:spacing w:line="460" w:lineRule="exact"/>
        <w:jc w:val="left"/>
        <w:rPr>
          <w:rFonts w:ascii="宋体" w:hAnsi="宋体"/>
          <w:bCs/>
          <w:color w:val="auto"/>
        </w:rPr>
      </w:pPr>
      <w:r>
        <w:rPr>
          <w:rFonts w:ascii="宋体" w:hAnsi="宋体"/>
          <w:bCs/>
          <w:color w:val="auto"/>
        </w:rPr>
        <w:t>7</w:t>
      </w:r>
      <w:r>
        <w:rPr>
          <w:rFonts w:hint="eastAsia" w:ascii="宋体" w:hAnsi="宋体"/>
          <w:bCs/>
          <w:color w:val="auto"/>
        </w:rPr>
        <w:t>、采购人或政府相关部门因专项任务对技术岗位服务人员发放的任何专项津贴，应足额及时发放给服务人员，服务商不得截留、克扣、挪用或从中抽取任何服务管理费用，并接受采购人的监督。</w:t>
      </w:r>
    </w:p>
    <w:p>
      <w:pPr>
        <w:widowControl/>
        <w:tabs>
          <w:tab w:val="left" w:pos="424"/>
          <w:tab w:val="left" w:pos="3240"/>
        </w:tabs>
        <w:spacing w:line="460" w:lineRule="exact"/>
        <w:jc w:val="left"/>
        <w:rPr>
          <w:rFonts w:ascii="宋体" w:hAnsi="宋体"/>
          <w:bCs/>
          <w:color w:val="auto"/>
        </w:rPr>
      </w:pPr>
      <w:r>
        <w:rPr>
          <w:rFonts w:hint="eastAsia" w:ascii="宋体" w:hAnsi="宋体"/>
          <w:bCs/>
          <w:color w:val="auto"/>
          <w:highlight w:val="yellow"/>
        </w:rPr>
        <w:t>8</w:t>
      </w:r>
      <w:r>
        <w:rPr>
          <w:rFonts w:hint="eastAsia" w:ascii="宋体" w:hAnsi="宋体"/>
          <w:bCs/>
          <w:color w:val="auto"/>
        </w:rPr>
        <w:t>、服务期满或合同提前解除后，如采购人未能确定新的服务公司，服务商必须按本合同约定的服务条款继续履行服务工作，采购人按本合同约定结算方式支付费用，</w:t>
      </w:r>
      <w:r>
        <w:rPr>
          <w:rFonts w:hint="eastAsia" w:ascii="宋体" w:hAnsi="宋体"/>
          <w:bCs/>
          <w:color w:val="auto"/>
          <w:lang w:val="en-US" w:eastAsia="zh-CN"/>
        </w:rPr>
        <w:t>不得超过原合同结算金额的10%，</w:t>
      </w:r>
      <w:r>
        <w:rPr>
          <w:rFonts w:hint="eastAsia" w:ascii="宋体" w:hAnsi="宋体"/>
          <w:bCs/>
          <w:color w:val="auto"/>
        </w:rPr>
        <w:t>且服务商须积极配合采购人和新中标服务公司进行交接手续，直到新的服务公司进场完成交接工作。</w:t>
      </w:r>
    </w:p>
    <w:p>
      <w:pPr>
        <w:widowControl/>
        <w:tabs>
          <w:tab w:val="left" w:pos="424"/>
          <w:tab w:val="left" w:pos="3240"/>
        </w:tabs>
        <w:spacing w:line="460" w:lineRule="exact"/>
        <w:jc w:val="left"/>
        <w:rPr>
          <w:rFonts w:ascii="宋体" w:hAnsi="宋体"/>
          <w:bCs/>
          <w:color w:val="auto"/>
        </w:rPr>
      </w:pPr>
      <w:r>
        <w:rPr>
          <w:rFonts w:hint="eastAsia" w:ascii="宋体" w:hAnsi="宋体"/>
          <w:bCs/>
          <w:color w:val="auto"/>
        </w:rPr>
        <w:t>9、服务期内，如服务外包人员出现三期员工</w:t>
      </w:r>
      <w:r>
        <w:rPr>
          <w:rFonts w:ascii="宋体" w:hAnsi="宋体"/>
          <w:bCs/>
          <w:color w:val="auto"/>
        </w:rPr>
        <w:t xml:space="preserve">(孕期、产期、哺乳期)导致空岗超出一个 </w:t>
      </w:r>
      <w:r>
        <w:rPr>
          <w:rFonts w:hint="eastAsia" w:ascii="宋体" w:hAnsi="宋体"/>
          <w:bCs/>
          <w:color w:val="auto"/>
        </w:rPr>
        <w:t>月的，乙方仍需保障上述服务外包人员的薪酬和相关福利待遇</w:t>
      </w:r>
      <w:r>
        <w:rPr>
          <w:rFonts w:ascii="宋体" w:hAnsi="宋体"/>
          <w:bCs/>
          <w:color w:val="auto"/>
        </w:rPr>
        <w:t>(给与发放休假期98+80天足</w:t>
      </w:r>
      <w:r>
        <w:rPr>
          <w:rFonts w:hint="eastAsia" w:ascii="宋体" w:hAnsi="宋体"/>
          <w:bCs/>
          <w:color w:val="auto"/>
        </w:rPr>
        <w:t>额工资</w:t>
      </w:r>
      <w:r>
        <w:rPr>
          <w:rFonts w:ascii="宋体" w:hAnsi="宋体"/>
          <w:bCs/>
          <w:color w:val="auto"/>
        </w:rPr>
        <w:t>+休假期购买五险一金，足额工资包括由社保局核定并补贴的98天生育津贴，剖腹产 变更</w:t>
      </w:r>
      <w:r>
        <w:rPr>
          <w:rFonts w:hint="eastAsia" w:ascii="宋体" w:hAnsi="宋体"/>
          <w:bCs/>
          <w:color w:val="auto"/>
        </w:rPr>
        <w:t>或多胞胎产生的假期同上</w:t>
      </w:r>
      <w:r>
        <w:rPr>
          <w:rFonts w:ascii="宋体" w:hAnsi="宋体"/>
          <w:bCs/>
          <w:color w:val="auto"/>
        </w:rPr>
        <w:t>)，甲方照常支付上述服务外包人员休假期间的服务费(包括基本</w:t>
      </w:r>
      <w:r>
        <w:rPr>
          <w:rFonts w:hint="eastAsia" w:ascii="宋体" w:hAnsi="宋体"/>
          <w:bCs/>
          <w:color w:val="auto"/>
        </w:rPr>
        <w:t>工资</w:t>
      </w:r>
      <w:r>
        <w:rPr>
          <w:rFonts w:ascii="宋体" w:hAnsi="宋体"/>
          <w:bCs/>
          <w:color w:val="auto"/>
        </w:rPr>
        <w:t>(除98天生育津贴)、五险一金(养老保险、统帐医疗保险、工伤保险、失业保险、生</w:t>
      </w:r>
      <w:r>
        <w:rPr>
          <w:rFonts w:hint="eastAsia" w:ascii="宋体" w:hAnsi="宋体"/>
          <w:bCs/>
          <w:color w:val="auto"/>
        </w:rPr>
        <w:t>育保险、住房公积金</w:t>
      </w:r>
      <w:r>
        <w:rPr>
          <w:rFonts w:ascii="宋体" w:hAnsi="宋体"/>
          <w:bCs/>
          <w:color w:val="auto"/>
        </w:rPr>
        <w:t>)单位负担部分、意外保险、工会经费、残疾人保障金、代理服务费、</w:t>
      </w:r>
      <w:r>
        <w:rPr>
          <w:rFonts w:hint="eastAsia" w:ascii="宋体" w:hAnsi="宋体"/>
          <w:bCs/>
          <w:color w:val="auto"/>
        </w:rPr>
        <w:t>风险金和管理服务费</w:t>
      </w:r>
      <w:r>
        <w:rPr>
          <w:rFonts w:ascii="宋体" w:hAnsi="宋体"/>
          <w:bCs/>
          <w:color w:val="auto"/>
        </w:rPr>
        <w:t>),若甲方需乙方安排人员对上述岗位进行顶岗，甲方需另支付顶岗服务</w:t>
      </w:r>
      <w:r>
        <w:rPr>
          <w:rFonts w:hint="eastAsia" w:ascii="宋体" w:hAnsi="宋体"/>
          <w:bCs/>
          <w:color w:val="auto"/>
        </w:rPr>
        <w:t>外包人员的服务费用，乙方须按甲方需求招聘服务外包人员填补岗位空缺，不得影响甲方的正常运营。</w:t>
      </w:r>
    </w:p>
    <w:p>
      <w:pPr>
        <w:widowControl/>
        <w:tabs>
          <w:tab w:val="left" w:pos="424"/>
          <w:tab w:val="left" w:pos="3240"/>
        </w:tabs>
        <w:spacing w:line="460" w:lineRule="exact"/>
        <w:jc w:val="left"/>
        <w:rPr>
          <w:rFonts w:ascii="宋体" w:hAnsi="宋体"/>
          <w:bCs/>
          <w:color w:val="auto"/>
        </w:rPr>
      </w:pPr>
      <w:r>
        <w:rPr>
          <w:rFonts w:hint="eastAsia" w:ascii="宋体" w:hAnsi="宋体"/>
          <w:bCs/>
          <w:color w:val="auto"/>
        </w:rPr>
        <w:t>1</w:t>
      </w:r>
      <w:r>
        <w:rPr>
          <w:rFonts w:ascii="宋体" w:hAnsi="宋体"/>
          <w:bCs/>
          <w:color w:val="auto"/>
        </w:rPr>
        <w:t>0</w:t>
      </w:r>
      <w:r>
        <w:rPr>
          <w:rFonts w:hint="eastAsia" w:ascii="宋体" w:hAnsi="宋体"/>
          <w:bCs/>
          <w:color w:val="auto"/>
        </w:rPr>
        <w:t>、服务期内，如服务外包人员经社保局认定工伤后按工伤认定流程执行。</w:t>
      </w:r>
    </w:p>
    <w:p>
      <w:pPr>
        <w:widowControl/>
        <w:tabs>
          <w:tab w:val="left" w:pos="424"/>
          <w:tab w:val="left" w:pos="3240"/>
        </w:tabs>
        <w:spacing w:line="460" w:lineRule="exact"/>
        <w:jc w:val="left"/>
        <w:rPr>
          <w:rFonts w:hint="eastAsia" w:ascii="宋体" w:hAnsi="宋体"/>
          <w:bCs/>
          <w:color w:val="auto"/>
        </w:rPr>
      </w:pPr>
      <w:r>
        <w:rPr>
          <w:rFonts w:hint="eastAsia" w:ascii="宋体" w:hAnsi="宋体"/>
          <w:bCs/>
          <w:color w:val="auto"/>
        </w:rPr>
        <w:t>1</w:t>
      </w:r>
      <w:r>
        <w:rPr>
          <w:rFonts w:ascii="宋体" w:hAnsi="宋体"/>
          <w:bCs/>
          <w:color w:val="auto"/>
        </w:rPr>
        <w:t>1</w:t>
      </w:r>
      <w:r>
        <w:rPr>
          <w:rFonts w:hint="eastAsia" w:ascii="宋体" w:hAnsi="宋体"/>
          <w:bCs/>
          <w:color w:val="auto"/>
        </w:rPr>
        <w:t>、乙方服务外包人员薪酬福利在总服务费(不含税)中需达到一定的占比。其中薪酬福利包括应发工资(含基本工资、岗位津贴、绩效、奖金、</w:t>
      </w:r>
      <w:r>
        <w:rPr>
          <w:rFonts w:hint="eastAsia" w:ascii="宋体" w:hAnsi="宋体"/>
          <w:bCs/>
          <w:color w:val="auto"/>
          <w:lang w:val="en-US" w:eastAsia="zh-CN"/>
        </w:rPr>
        <w:t>固定</w:t>
      </w:r>
      <w:r>
        <w:rPr>
          <w:rFonts w:hint="eastAsia" w:ascii="宋体" w:hAnsi="宋体"/>
          <w:bCs/>
          <w:color w:val="auto"/>
        </w:rPr>
        <w:t>加班费、津贴补贴</w:t>
      </w:r>
      <w:r>
        <w:rPr>
          <w:rFonts w:hint="eastAsia" w:ascii="宋体" w:hAnsi="宋体"/>
          <w:bCs/>
          <w:color w:val="auto"/>
          <w:lang w:eastAsia="zh-CN"/>
        </w:rPr>
        <w:t>、</w:t>
      </w:r>
      <w:r>
        <w:rPr>
          <w:rFonts w:hint="eastAsia" w:ascii="宋体" w:hAnsi="宋体"/>
          <w:bCs/>
          <w:color w:val="auto"/>
          <w:lang w:val="en-US" w:eastAsia="zh-CN"/>
        </w:rPr>
        <w:t>专项津贴</w:t>
      </w:r>
      <w:r>
        <w:rPr>
          <w:rFonts w:hint="eastAsia" w:ascii="宋体" w:hAnsi="宋体"/>
          <w:bCs/>
          <w:color w:val="auto"/>
        </w:rPr>
        <w:t>等)、节日福利费、单位部分五险一金、意外保险、体检费等，且服务外包人员不全勤的不纳入薪酬福利占比的计算范围。具体如下：</w:t>
      </w:r>
    </w:p>
    <w:p>
      <w:pPr>
        <w:widowControl/>
        <w:tabs>
          <w:tab w:val="left" w:pos="424"/>
          <w:tab w:val="left" w:pos="3240"/>
        </w:tabs>
        <w:spacing w:line="460" w:lineRule="exact"/>
        <w:jc w:val="left"/>
        <w:rPr>
          <w:rFonts w:hint="eastAsia" w:ascii="宋体" w:hAnsi="宋体"/>
          <w:bCs/>
          <w:color w:val="auto"/>
        </w:rPr>
      </w:pPr>
      <w:r>
        <w:rPr>
          <w:rFonts w:ascii="宋体" w:hAnsi="宋体"/>
          <w:bCs/>
          <w:color w:val="auto"/>
        </w:rPr>
        <w:t>11.1</w:t>
      </w:r>
      <w:r>
        <w:rPr>
          <w:rFonts w:hint="eastAsia" w:ascii="宋体" w:hAnsi="宋体"/>
          <w:bCs/>
          <w:color w:val="auto"/>
        </w:rPr>
        <w:t>每月30日前乙方提交上月服务外包人员薪酬福利月占比及依据材料清单的纸质版及电子版给甲方人事部门复核。</w:t>
      </w:r>
    </w:p>
    <w:p>
      <w:pPr>
        <w:widowControl/>
        <w:tabs>
          <w:tab w:val="left" w:pos="424"/>
          <w:tab w:val="left" w:pos="3240"/>
        </w:tabs>
        <w:spacing w:line="460" w:lineRule="exact"/>
        <w:jc w:val="left"/>
        <w:rPr>
          <w:rFonts w:hint="eastAsia" w:ascii="宋体" w:hAnsi="宋体"/>
          <w:bCs/>
          <w:color w:val="auto"/>
        </w:rPr>
      </w:pPr>
      <w:r>
        <w:rPr>
          <w:rFonts w:ascii="宋体" w:hAnsi="宋体"/>
          <w:bCs/>
          <w:color w:val="auto"/>
        </w:rPr>
        <w:t>11.2</w:t>
      </w:r>
      <w:r>
        <w:rPr>
          <w:rFonts w:hint="eastAsia" w:ascii="宋体" w:hAnsi="宋体"/>
          <w:bCs/>
          <w:color w:val="auto"/>
        </w:rPr>
        <w:t>乙方服务外包人员薪酬福利费用年度平均占比不得低于</w:t>
      </w:r>
      <w:r>
        <w:rPr>
          <w:rFonts w:hint="eastAsia" w:ascii="宋体" w:hAnsi="宋体"/>
          <w:bCs/>
          <w:color w:val="auto"/>
          <w:highlight w:val="yellow"/>
        </w:rPr>
        <w:t>90%</w:t>
      </w:r>
      <w:r>
        <w:rPr>
          <w:rFonts w:hint="eastAsia" w:ascii="宋体" w:hAnsi="宋体"/>
          <w:bCs/>
          <w:color w:val="auto"/>
        </w:rPr>
        <w:t>，否则乙方须在下年首月将上年度服务外包人员薪酬福利费用占比差额补足至90%。</w:t>
      </w:r>
    </w:p>
    <w:p>
      <w:pPr>
        <w:widowControl/>
        <w:tabs>
          <w:tab w:val="left" w:pos="424"/>
          <w:tab w:val="left" w:pos="3240"/>
        </w:tabs>
        <w:spacing w:line="460" w:lineRule="exact"/>
        <w:jc w:val="left"/>
        <w:rPr>
          <w:rFonts w:hint="eastAsia" w:ascii="宋体" w:hAnsi="宋体"/>
          <w:bCs/>
          <w:color w:val="auto"/>
        </w:rPr>
      </w:pPr>
      <w:r>
        <w:rPr>
          <w:rFonts w:ascii="宋体" w:hAnsi="宋体"/>
          <w:bCs/>
          <w:color w:val="auto"/>
          <w:highlight w:val="yellow"/>
        </w:rPr>
        <w:t>11.3</w:t>
      </w:r>
      <w:r>
        <w:rPr>
          <w:rFonts w:hint="eastAsia" w:ascii="宋体" w:hAnsi="宋体"/>
          <w:bCs/>
          <w:color w:val="auto"/>
          <w:highlight w:val="yellow"/>
        </w:rPr>
        <w:t>乙方服务外包人员薪酬福利费用叁年服务期平均占比不得低于96.55%，否则视为乙方违约，乙方按甲方叁年实际支付服务外包人员总服务费的1%向甲方支付违约金。其中叁年服务期的服务外包人员部分岗位比例需达到以下标准:医生(本科)人数占比不低于10.82%、医生(硕士)人数占比不低于5.41%、临床护士(硕士)人数占比不低于2.54%，医技助理不低于9.7%,如以上四类服务外包人员中任何一类岗位占比达不到最低标准且乙方薪酬福利费用叁年服务期平均占比低于96.55%，视为乙方违约。</w:t>
      </w:r>
    </w:p>
    <w:p>
      <w:pPr>
        <w:shd w:val="clear" w:color="auto" w:fill="FFFFFF"/>
        <w:spacing w:line="460" w:lineRule="exact"/>
        <w:ind w:firstLine="384" w:firstLineChars="183"/>
        <w:rPr>
          <w:rFonts w:ascii="宋体" w:hAnsi="宋体"/>
          <w:bCs/>
          <w:color w:val="auto"/>
        </w:rPr>
      </w:pPr>
    </w:p>
    <w:p>
      <w:pPr>
        <w:widowControl/>
        <w:tabs>
          <w:tab w:val="left" w:pos="424"/>
          <w:tab w:val="left" w:pos="3240"/>
        </w:tabs>
        <w:spacing w:line="460" w:lineRule="exact"/>
        <w:jc w:val="left"/>
        <w:rPr>
          <w:rFonts w:ascii="宋体" w:hAnsi="宋体"/>
          <w:b/>
          <w:color w:val="auto"/>
          <w:szCs w:val="21"/>
        </w:rPr>
      </w:pPr>
      <w:r>
        <w:rPr>
          <w:rFonts w:hint="eastAsia" w:ascii="宋体" w:hAnsi="宋体"/>
          <w:b/>
          <w:color w:val="auto"/>
        </w:rPr>
        <w:t>七</w:t>
      </w:r>
      <w:r>
        <w:rPr>
          <w:rFonts w:hint="eastAsia" w:ascii="宋体" w:hAnsi="宋体"/>
          <w:b/>
          <w:color w:val="auto"/>
          <w:szCs w:val="21"/>
        </w:rPr>
        <w:t>、付款方式</w:t>
      </w:r>
    </w:p>
    <w:p>
      <w:pPr>
        <w:widowControl/>
        <w:tabs>
          <w:tab w:val="left" w:pos="424"/>
          <w:tab w:val="left" w:pos="3240"/>
          <w:tab w:val="left" w:pos="4410"/>
        </w:tabs>
        <w:spacing w:line="460" w:lineRule="exact"/>
        <w:jc w:val="left"/>
        <w:rPr>
          <w:rFonts w:ascii="宋体" w:hAnsi="宋体"/>
          <w:color w:val="auto"/>
          <w:szCs w:val="21"/>
        </w:rPr>
      </w:pPr>
      <w:r>
        <w:rPr>
          <w:rFonts w:ascii="宋体" w:hAnsi="宋体"/>
          <w:color w:val="auto"/>
          <w:szCs w:val="21"/>
        </w:rPr>
        <w:t>1</w:t>
      </w:r>
      <w:r>
        <w:rPr>
          <w:rFonts w:hint="eastAsia" w:ascii="宋体" w:hAnsi="宋体"/>
          <w:color w:val="auto"/>
          <w:szCs w:val="21"/>
        </w:rPr>
        <w:t>、付款方式：按月支付。服务商于每月1日之后将上月实际服务人数、月工资额、月结总额等资料报请采购人审核结算，并按要求提供相关单据和正式发票，采购人于60个自然日内支付相应款项。</w:t>
      </w:r>
    </w:p>
    <w:p>
      <w:pPr>
        <w:widowControl/>
        <w:tabs>
          <w:tab w:val="left" w:pos="424"/>
          <w:tab w:val="left" w:pos="3240"/>
        </w:tabs>
        <w:spacing w:line="460" w:lineRule="exact"/>
        <w:jc w:val="left"/>
        <w:rPr>
          <w:rFonts w:ascii="宋体" w:hAnsi="宋体"/>
          <w:color w:val="auto"/>
          <w:szCs w:val="21"/>
        </w:rPr>
      </w:pPr>
      <w:r>
        <w:rPr>
          <w:rFonts w:ascii="宋体" w:hAnsi="宋体"/>
          <w:color w:val="auto"/>
          <w:szCs w:val="21"/>
        </w:rPr>
        <w:t>2</w:t>
      </w:r>
      <w:r>
        <w:rPr>
          <w:rFonts w:hint="eastAsia" w:ascii="宋体" w:hAnsi="宋体"/>
          <w:color w:val="auto"/>
          <w:szCs w:val="21"/>
        </w:rPr>
        <w:t>、服务商凭以下有效文件与采购人结算：</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（1）合同；</w:t>
      </w:r>
    </w:p>
    <w:p>
      <w:pPr>
        <w:widowControl/>
        <w:tabs>
          <w:tab w:val="left" w:pos="424"/>
          <w:tab w:val="left" w:pos="3240"/>
        </w:tabs>
        <w:spacing w:line="460" w:lineRule="exact"/>
        <w:jc w:val="left"/>
        <w:rPr>
          <w:rFonts w:ascii="宋体" w:hAnsi="宋体"/>
          <w:color w:val="auto"/>
          <w:szCs w:val="21"/>
        </w:rPr>
      </w:pPr>
      <w:r>
        <w:rPr>
          <w:rFonts w:hint="eastAsia" w:ascii="宋体" w:hAnsi="宋体"/>
          <w:color w:val="auto"/>
          <w:szCs w:val="21"/>
        </w:rPr>
        <w:t>（2）服务商开具的正式发票及相关单据；</w:t>
      </w:r>
    </w:p>
    <w:p>
      <w:pPr>
        <w:widowControl/>
        <w:tabs>
          <w:tab w:val="left" w:pos="424"/>
          <w:tab w:val="left" w:pos="3240"/>
        </w:tabs>
        <w:spacing w:line="460" w:lineRule="exact"/>
        <w:jc w:val="left"/>
        <w:rPr>
          <w:rFonts w:hint="eastAsia" w:ascii="宋体" w:hAnsi="宋体"/>
          <w:color w:val="auto"/>
          <w:szCs w:val="21"/>
        </w:rPr>
      </w:pPr>
      <w:r>
        <w:rPr>
          <w:rFonts w:hint="eastAsia" w:ascii="宋体" w:hAnsi="宋体"/>
          <w:color w:val="auto"/>
          <w:szCs w:val="21"/>
        </w:rPr>
        <w:t>（3）服务考核情况（加盖采购人公章）；</w:t>
      </w:r>
    </w:p>
    <w:p>
      <w:pPr>
        <w:pStyle w:val="2"/>
        <w:widowControl/>
        <w:spacing w:line="460" w:lineRule="exact"/>
        <w:jc w:val="left"/>
        <w:rPr>
          <w:rFonts w:ascii="宋体" w:hAnsi="宋体"/>
          <w:b/>
          <w:color w:val="auto"/>
        </w:rPr>
      </w:pPr>
      <w:r>
        <w:rPr>
          <w:rFonts w:hint="eastAsia" w:cs="Times New Roman"/>
          <w:b w:val="0"/>
          <w:color w:val="auto"/>
          <w:sz w:val="21"/>
          <w:szCs w:val="21"/>
          <w:lang w:eastAsia="zh-CN"/>
        </w:rPr>
        <w:t>（</w:t>
      </w:r>
      <w:r>
        <w:rPr>
          <w:rFonts w:hint="eastAsia" w:cs="Times New Roman"/>
          <w:b w:val="0"/>
          <w:color w:val="auto"/>
          <w:sz w:val="21"/>
          <w:szCs w:val="21"/>
          <w:lang w:val="en-US" w:eastAsia="zh-CN"/>
        </w:rPr>
        <w:t>4</w:t>
      </w:r>
      <w:r>
        <w:rPr>
          <w:rFonts w:hint="eastAsia" w:cs="Times New Roman"/>
          <w:b w:val="0"/>
          <w:color w:val="auto"/>
          <w:sz w:val="21"/>
          <w:szCs w:val="21"/>
          <w:lang w:eastAsia="zh-CN"/>
        </w:rPr>
        <w:t>）</w:t>
      </w:r>
      <w:r>
        <w:rPr>
          <w:rFonts w:hint="eastAsia" w:cs="Times New Roman"/>
          <w:b w:val="0"/>
          <w:color w:val="auto"/>
          <w:sz w:val="21"/>
          <w:szCs w:val="21"/>
          <w:lang w:val="en-US" w:eastAsia="zh-CN"/>
        </w:rPr>
        <w:t>服务人员考核结果。</w:t>
      </w:r>
    </w:p>
    <w:p>
      <w:pPr>
        <w:widowControl/>
        <w:tabs>
          <w:tab w:val="left" w:pos="424"/>
          <w:tab w:val="left" w:pos="3240"/>
        </w:tabs>
        <w:spacing w:line="460" w:lineRule="exact"/>
        <w:jc w:val="left"/>
        <w:rPr>
          <w:rFonts w:hint="eastAsia" w:ascii="宋体" w:hAnsi="宋体"/>
          <w:b/>
          <w:color w:val="auto"/>
        </w:rPr>
      </w:pPr>
      <w:r>
        <w:rPr>
          <w:rFonts w:hint="eastAsia" w:ascii="宋体" w:hAnsi="宋体"/>
          <w:b/>
          <w:color w:val="auto"/>
        </w:rPr>
        <w:t>八、履约保证金</w:t>
      </w:r>
    </w:p>
    <w:p>
      <w:pPr>
        <w:widowControl/>
        <w:tabs>
          <w:tab w:val="left" w:pos="424"/>
          <w:tab w:val="left" w:pos="3240"/>
          <w:tab w:val="left" w:pos="4410"/>
        </w:tabs>
        <w:spacing w:line="460" w:lineRule="exact"/>
        <w:jc w:val="left"/>
        <w:rPr>
          <w:rFonts w:ascii="宋体" w:hAnsi="宋体"/>
          <w:color w:val="auto"/>
          <w:szCs w:val="21"/>
        </w:rPr>
      </w:pPr>
      <w:r>
        <w:rPr>
          <w:rFonts w:ascii="宋体" w:hAnsi="宋体"/>
          <w:color w:val="auto"/>
          <w:szCs w:val="21"/>
        </w:rPr>
        <w:t>1</w:t>
      </w:r>
      <w:r>
        <w:rPr>
          <w:rFonts w:hint="eastAsia" w:ascii="宋体" w:hAnsi="宋体"/>
          <w:color w:val="auto"/>
          <w:szCs w:val="21"/>
        </w:rPr>
        <w:t>、履约保证金为3</w:t>
      </w:r>
      <w:r>
        <w:rPr>
          <w:rFonts w:ascii="宋体" w:hAnsi="宋体"/>
          <w:color w:val="auto"/>
          <w:szCs w:val="21"/>
        </w:rPr>
        <w:t>0</w:t>
      </w:r>
      <w:r>
        <w:rPr>
          <w:rFonts w:hint="eastAsia" w:ascii="宋体" w:hAnsi="宋体"/>
          <w:color w:val="auto"/>
          <w:szCs w:val="21"/>
        </w:rPr>
        <w:t>万元，</w:t>
      </w:r>
      <w:r>
        <w:rPr>
          <w:rFonts w:ascii="宋体" w:hAnsi="宋体"/>
          <w:color w:val="auto"/>
          <w:szCs w:val="21"/>
        </w:rPr>
        <w:t>合同签订后，</w:t>
      </w:r>
      <w:r>
        <w:rPr>
          <w:rFonts w:hint="eastAsia" w:ascii="宋体" w:hAnsi="宋体"/>
          <w:color w:val="auto"/>
          <w:szCs w:val="21"/>
        </w:rPr>
        <w:t>服务商</w:t>
      </w:r>
      <w:r>
        <w:rPr>
          <w:rFonts w:ascii="宋体" w:hAnsi="宋体"/>
          <w:color w:val="auto"/>
          <w:szCs w:val="21"/>
        </w:rPr>
        <w:t>须于10个工作日内缴纳履约保证金给采购人，履约保证金以不可撤销、无条件的银行履约保函的形式提交（履约保函不计息），且应在服务期内持续有效，出具保函的银行须在国内注册。如保函期届满前60天内，遇到项目延期或其他增加服务期限的情况，服务商应立即向保函出具单位申请延续保证期间，延续期限不少于6个月。若服务商给采购人造成的损失超过履约保函数额的，服务商还应当对超过部分予以赔偿。履约保函应明确列出或附上采购人索赔的资料清单，索赔流程应该具有实操性。</w:t>
      </w:r>
    </w:p>
    <w:p>
      <w:pPr>
        <w:widowControl/>
        <w:tabs>
          <w:tab w:val="left" w:pos="424"/>
          <w:tab w:val="left" w:pos="3240"/>
          <w:tab w:val="left" w:pos="4410"/>
        </w:tabs>
        <w:spacing w:line="460" w:lineRule="exact"/>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合同终止后，服务商在服务期内无违约行为或违约行为已履行完毕，服务商出具履约保函返还申请，采购人在收到后一个月内退还保函原件给服务商。</w:t>
      </w:r>
    </w:p>
    <w:p>
      <w:pPr>
        <w:rPr>
          <w:rFonts w:hint="eastAsia"/>
          <w:color w:val="auto"/>
        </w:rPr>
      </w:pPr>
    </w:p>
    <w:p>
      <w:pPr>
        <w:numPr>
          <w:ilvl w:val="0"/>
          <w:numId w:val="2"/>
        </w:numPr>
        <w:shd w:val="clear" w:color="auto" w:fill="FFFFFF"/>
        <w:spacing w:line="460" w:lineRule="exact"/>
        <w:rPr>
          <w:rFonts w:hint="eastAsia" w:ascii="宋体" w:hAnsi="宋体"/>
          <w:b/>
          <w:color w:val="auto"/>
        </w:rPr>
      </w:pPr>
      <w:r>
        <w:rPr>
          <w:rFonts w:hint="eastAsia" w:ascii="宋体" w:hAnsi="宋体"/>
          <w:b/>
          <w:color w:val="auto"/>
        </w:rPr>
        <w:t>服务考评标准或考核要求</w:t>
      </w:r>
    </w:p>
    <w:p>
      <w:pPr>
        <w:widowControl/>
        <w:shd w:val="clear" w:color="auto" w:fill="auto"/>
        <w:tabs>
          <w:tab w:val="left" w:pos="424"/>
          <w:tab w:val="left" w:pos="3240"/>
          <w:tab w:val="left" w:pos="4410"/>
        </w:tabs>
        <w:spacing w:line="460" w:lineRule="exact"/>
        <w:ind w:firstLine="0" w:firstLineChars="0"/>
        <w:jc w:val="left"/>
        <w:rPr>
          <w:rFonts w:ascii="宋体" w:hAnsi="宋体"/>
          <w:b w:val="0"/>
          <w:color w:val="auto"/>
          <w:sz w:val="21"/>
          <w:szCs w:val="21"/>
        </w:rPr>
      </w:pPr>
      <w:r>
        <w:rPr>
          <w:rFonts w:hint="default" w:ascii="宋体" w:hAnsi="宋体"/>
          <w:b w:val="0"/>
          <w:color w:val="auto"/>
          <w:sz w:val="21"/>
          <w:szCs w:val="21"/>
          <w:lang w:val="en-US" w:eastAsia="zh-CN"/>
        </w:rPr>
        <w:t>1、总体</w:t>
      </w:r>
      <w:r>
        <w:rPr>
          <w:rFonts w:hint="default" w:ascii="宋体" w:hAnsi="宋体"/>
          <w:b w:val="0"/>
          <w:color w:val="auto"/>
          <w:sz w:val="21"/>
          <w:szCs w:val="21"/>
        </w:rPr>
        <w:t>服务考评标准</w:t>
      </w:r>
    </w:p>
    <w:tbl>
      <w:tblPr>
        <w:tblStyle w:val="11"/>
        <w:tblW w:w="97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5" w:type="dxa"/>
          <w:bottom w:w="0" w:type="dxa"/>
          <w:right w:w="15" w:type="dxa"/>
        </w:tblCellMar>
      </w:tblPr>
      <w:tblGrid>
        <w:gridCol w:w="950"/>
        <w:gridCol w:w="2505"/>
        <w:gridCol w:w="2246"/>
        <w:gridCol w:w="39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81" w:hRule="atLeast"/>
          <w:jc w:val="center"/>
        </w:trPr>
        <w:tc>
          <w:tcPr>
            <w:tcW w:w="950" w:type="dxa"/>
            <w:vAlign w:val="center"/>
          </w:tcPr>
          <w:p>
            <w:pPr>
              <w:jc w:val="center"/>
              <w:rPr>
                <w:b/>
                <w:bCs/>
                <w:color w:val="auto"/>
              </w:rPr>
            </w:pPr>
            <w:r>
              <w:rPr>
                <w:rFonts w:hint="eastAsia"/>
                <w:b/>
                <w:bCs/>
                <w:color w:val="auto"/>
              </w:rPr>
              <w:t>考核项目</w:t>
            </w:r>
          </w:p>
        </w:tc>
        <w:tc>
          <w:tcPr>
            <w:tcW w:w="2505" w:type="dxa"/>
            <w:vAlign w:val="center"/>
          </w:tcPr>
          <w:p>
            <w:pPr>
              <w:jc w:val="center"/>
              <w:rPr>
                <w:b/>
                <w:bCs/>
                <w:color w:val="auto"/>
              </w:rPr>
            </w:pPr>
            <w:r>
              <w:rPr>
                <w:rFonts w:hint="eastAsia"/>
                <w:b/>
                <w:bCs/>
                <w:color w:val="auto"/>
              </w:rPr>
              <w:t>考核内容</w:t>
            </w:r>
          </w:p>
        </w:tc>
        <w:tc>
          <w:tcPr>
            <w:tcW w:w="2246" w:type="dxa"/>
            <w:vAlign w:val="center"/>
          </w:tcPr>
          <w:p>
            <w:pPr>
              <w:jc w:val="center"/>
              <w:rPr>
                <w:b/>
                <w:bCs/>
                <w:color w:val="auto"/>
              </w:rPr>
            </w:pPr>
            <w:r>
              <w:rPr>
                <w:rFonts w:hint="eastAsia"/>
                <w:b/>
                <w:bCs/>
                <w:color w:val="auto"/>
              </w:rPr>
              <w:t>扣分或加分标准</w:t>
            </w:r>
          </w:p>
        </w:tc>
        <w:tc>
          <w:tcPr>
            <w:tcW w:w="3999" w:type="dxa"/>
            <w:vAlign w:val="center"/>
          </w:tcPr>
          <w:p>
            <w:pPr>
              <w:jc w:val="center"/>
              <w:rPr>
                <w:b/>
                <w:bCs/>
                <w:color w:val="auto"/>
              </w:rPr>
            </w:pPr>
            <w:r>
              <w:rPr>
                <w:rFonts w:hint="eastAsia"/>
                <w:b/>
                <w:bCs/>
                <w:color w:val="auto"/>
              </w:rPr>
              <w:t>经济扣罚或奖励标准及其他补充说明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00" w:hRule="atLeast"/>
          <w:jc w:val="center"/>
        </w:trPr>
        <w:tc>
          <w:tcPr>
            <w:tcW w:w="950" w:type="dxa"/>
            <w:vMerge w:val="restart"/>
            <w:vAlign w:val="center"/>
          </w:tcPr>
          <w:p>
            <w:pPr>
              <w:rPr>
                <w:rFonts w:asciiTheme="minorEastAsia" w:hAnsiTheme="minorEastAsia"/>
                <w:color w:val="auto"/>
                <w:sz w:val="20"/>
                <w:szCs w:val="20"/>
              </w:rPr>
            </w:pPr>
            <w:r>
              <w:rPr>
                <w:rFonts w:hint="eastAsia" w:asciiTheme="minorEastAsia" w:hAnsiTheme="minorEastAsia"/>
                <w:color w:val="auto"/>
                <w:sz w:val="20"/>
                <w:szCs w:val="20"/>
              </w:rPr>
              <w:t>一、服务团队建设</w:t>
            </w:r>
          </w:p>
        </w:tc>
        <w:tc>
          <w:tcPr>
            <w:tcW w:w="2505"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1、未经培训的或人员不符合服务基本条件。</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扣2分/人</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扣罚100元/人，采购人有权要求更换相关人员并追究有关责任，中标人应按采购人要求更换人员并承担相关责任。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247"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2、未按时签订劳动合同或发放工资、补助、购买社保的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扣2.5分/人(任一项)</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扣罚100元/人(任一项)。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48"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3、少配置人员的（且7天内未按要求补齐）</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扣10分/人</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按缺岗人员的发放工资标准等额扣除对应缺天数的费用，采购人有权要求补齐人员，中标人应按采购人要求补齐人员。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41"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4、人员稳定性高，每个月的离职率最高不超过5%</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每超1%扣2分</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采购人有权要求补齐人员，中标人应按采购人要求补齐人员。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37"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5、值班人员脱岗的</w:t>
            </w:r>
            <w:r>
              <w:rPr>
                <w:rFonts w:hint="eastAsia" w:asciiTheme="minorEastAsia" w:hAnsiTheme="minorEastAsia"/>
                <w:color w:val="auto"/>
                <w:sz w:val="20"/>
                <w:szCs w:val="20"/>
                <w:lang w:eastAsia="zh-CN"/>
              </w:rPr>
              <w:t>。</w:t>
            </w:r>
          </w:p>
        </w:tc>
        <w:tc>
          <w:tcPr>
            <w:tcW w:w="2246"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扣1分/人/次(备注:值班人员在接到通知后10分钟内未到达指定位置的、上班时间离开上班安排区域或做其他与本职工作无关工作的,扣1分/人:同一个人一个月内脱岗2次以上(含2次)扣2分/次。)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扣罚100元/人/次(备注: 值班人员在接到通知后10分钟内未到达指定位置的、上班时间离开上班安排区域或做其他与本职工作无关工作的,扣款100元/人;同一个人一个月内脱岗2次以上(含2次)扣款300元/次)。 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63"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6、发生与工作相关的“吃、拿、卡、要”等问题:发生有责纠纷及其它事情等,造成不良影响的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扣10分/次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扣罚200元/次:造成严重后果及影响的.500元/次。采购人有权要求更换相关人员并追究有关责任，中标人应按采购人要求更换人员并承担相关责任。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305"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7、出现仪容不整、着装不整、证件、值勤标志佩戴不齐的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扣0.5分/人/次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扣罚50元/人/次，采购人有权要求更换相关人员并追究有关责任，中标人应按采购人要求更换人员并承担相关责任。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251"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8、出现工作态度粗暴、野蛮、语言不文明等言行举止不当的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扣1分/人/次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扣罚50元/人/次，采购人有权要求更换相关人员并追究有关责任，中标人应按采购人要求更换人员并承担相关责任。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281"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9、出现中标人不配合监督检查的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扣2分/次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扣罚100元/次，采购人有权要求更换相关人员并追究有关责任，中标人应按采购人要求更换人员并承担相关责任。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32"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10、未按要求上报相关工作情况信息的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扣2分/次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扣罚100元/次，采购人有权要求更换相关人员并追究有关责任，中标人应按采购人要求更换人员并承担相关责任。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300"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11、擅自调整工作安排的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扣2分/次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扣罚100元/次，采购人有权要求更换相关人员并追究有关责任，中标人应按采购人要求更换人员并承担相关责任。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817"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default" w:eastAsia="宋体" w:asciiTheme="minorEastAsia" w:hAnsiTheme="minorEastAsia"/>
                <w:color w:val="auto"/>
                <w:sz w:val="20"/>
                <w:szCs w:val="20"/>
                <w:lang w:val="en-US" w:eastAsia="zh-CN"/>
              </w:rPr>
            </w:pPr>
            <w:r>
              <w:rPr>
                <w:rFonts w:hint="eastAsia" w:asciiTheme="minorEastAsia" w:hAnsiTheme="minorEastAsia"/>
                <w:color w:val="auto"/>
                <w:sz w:val="20"/>
                <w:szCs w:val="20"/>
              </w:rPr>
              <w:t>12、中标人根据职责不能有效制止或处理的违反管理规定的行为,未及时上报的。</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扣2分/次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扣罚100元/次，采购人有权要求更换相关人员并追究有关责任，中标人应按采购人要求更换人员并承担相关责任。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040"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13、中标人能充分利用不同的平台、制定完善的招聘流程，为本项目招聘到符合采购人使用要求的员工。</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加3分</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698"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14、采购人用人部门对外包人员提供的服务满意度情况</w:t>
            </w:r>
            <w:r>
              <w:rPr>
                <w:rFonts w:hint="eastAsia" w:asciiTheme="minorEastAsia" w:hAnsiTheme="minorEastAsia"/>
                <w:color w:val="auto"/>
                <w:sz w:val="20"/>
                <w:szCs w:val="20"/>
                <w:lang w:eastAsia="zh-CN"/>
              </w:rPr>
              <w:t>。</w:t>
            </w:r>
          </w:p>
        </w:tc>
        <w:tc>
          <w:tcPr>
            <w:tcW w:w="2246"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满意度达90%或以上，加3分满意度达80%-90%不扣分；满意度低于80%，每低5%扣2分</w:t>
            </w:r>
            <w:r>
              <w:rPr>
                <w:rFonts w:hint="eastAsia" w:asciiTheme="minorEastAsia" w:hAnsiTheme="minorEastAsia"/>
                <w:color w:val="auto"/>
                <w:sz w:val="20"/>
                <w:szCs w:val="20"/>
                <w:lang w:eastAsia="zh-CN"/>
              </w:rPr>
              <w:t>。</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满意度调查由采购人组织完成。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443" w:hRule="atLeast"/>
          <w:jc w:val="center"/>
        </w:trPr>
        <w:tc>
          <w:tcPr>
            <w:tcW w:w="950" w:type="dxa"/>
            <w:vAlign w:val="center"/>
          </w:tcPr>
          <w:p>
            <w:pPr>
              <w:rPr>
                <w:rFonts w:asciiTheme="minorEastAsia" w:hAnsiTheme="minorEastAsia"/>
                <w:color w:val="auto"/>
                <w:sz w:val="20"/>
                <w:szCs w:val="20"/>
              </w:rPr>
            </w:pPr>
          </w:p>
        </w:tc>
        <w:tc>
          <w:tcPr>
            <w:tcW w:w="2505" w:type="dxa"/>
            <w:vAlign w:val="center"/>
          </w:tcPr>
          <w:p>
            <w:pPr>
              <w:rPr>
                <w:rFonts w:hint="default" w:eastAsia="宋体" w:asciiTheme="minorEastAsia" w:hAnsiTheme="minorEastAsia"/>
                <w:color w:val="auto"/>
                <w:sz w:val="20"/>
                <w:szCs w:val="20"/>
                <w:highlight w:val="yellow"/>
                <w:lang w:val="en-US" w:eastAsia="zh-CN"/>
              </w:rPr>
            </w:pPr>
            <w:r>
              <w:rPr>
                <w:rFonts w:hint="eastAsia" w:asciiTheme="minorEastAsia" w:hAnsiTheme="minorEastAsia"/>
                <w:color w:val="auto"/>
                <w:sz w:val="20"/>
                <w:szCs w:val="20"/>
                <w:highlight w:val="yellow"/>
                <w:lang w:val="en-US" w:eastAsia="zh-CN"/>
              </w:rPr>
              <w:t>15、中标人按季度对服务人员进行考核，并将考核结果于下季度首月10日前提交给采购人。</w:t>
            </w:r>
          </w:p>
        </w:tc>
        <w:tc>
          <w:tcPr>
            <w:tcW w:w="2246" w:type="dxa"/>
            <w:vAlign w:val="center"/>
          </w:tcPr>
          <w:p>
            <w:pPr>
              <w:rPr>
                <w:rFonts w:hint="default" w:eastAsia="宋体" w:asciiTheme="minorEastAsia" w:hAnsiTheme="minorEastAsia"/>
                <w:color w:val="auto"/>
                <w:sz w:val="20"/>
                <w:szCs w:val="20"/>
                <w:highlight w:val="yellow"/>
                <w:lang w:val="en-US" w:eastAsia="zh-CN"/>
              </w:rPr>
            </w:pPr>
            <w:r>
              <w:rPr>
                <w:rFonts w:hint="eastAsia" w:asciiTheme="minorEastAsia" w:hAnsiTheme="minorEastAsia"/>
                <w:color w:val="auto"/>
                <w:sz w:val="20"/>
                <w:szCs w:val="20"/>
                <w:highlight w:val="yellow"/>
                <w:lang w:val="en-US" w:eastAsia="zh-CN"/>
              </w:rPr>
              <w:t>未按时考核或未按时提交考核结果扣5分/次。</w:t>
            </w:r>
          </w:p>
        </w:tc>
        <w:tc>
          <w:tcPr>
            <w:tcW w:w="3999" w:type="dxa"/>
            <w:vAlign w:val="center"/>
          </w:tcPr>
          <w:p>
            <w:pPr>
              <w:rPr>
                <w:rFonts w:hint="default" w:eastAsia="宋体" w:asciiTheme="minorEastAsia" w:hAnsiTheme="minorEastAsia"/>
                <w:color w:val="auto"/>
                <w:sz w:val="20"/>
                <w:szCs w:val="20"/>
                <w:highlight w:val="yellow"/>
                <w:lang w:val="en-US" w:eastAsia="zh-CN"/>
              </w:rPr>
            </w:pPr>
            <w:r>
              <w:rPr>
                <w:rFonts w:hint="eastAsia" w:asciiTheme="minorEastAsia" w:hAnsiTheme="minorEastAsia"/>
                <w:color w:val="auto"/>
                <w:sz w:val="20"/>
                <w:szCs w:val="20"/>
                <w:highlight w:val="yellow"/>
                <w:lang w:val="en-US" w:eastAsia="zh-CN"/>
              </w:rPr>
              <w:t>中标人根据岗位类别及需求制订科学可行的考核方案。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108" w:hRule="atLeast"/>
          <w:jc w:val="center"/>
        </w:trPr>
        <w:tc>
          <w:tcPr>
            <w:tcW w:w="950" w:type="dxa"/>
            <w:vAlign w:val="center"/>
          </w:tcPr>
          <w:p>
            <w:pPr>
              <w:rPr>
                <w:rFonts w:asciiTheme="minorEastAsia" w:hAnsiTheme="minorEastAsia"/>
                <w:color w:val="auto"/>
                <w:sz w:val="20"/>
                <w:szCs w:val="20"/>
              </w:rPr>
            </w:pPr>
          </w:p>
        </w:tc>
        <w:tc>
          <w:tcPr>
            <w:tcW w:w="2505" w:type="dxa"/>
            <w:vAlign w:val="center"/>
          </w:tcPr>
          <w:p>
            <w:pPr>
              <w:rPr>
                <w:rFonts w:hint="default" w:asciiTheme="minorEastAsia" w:hAnsiTheme="minorEastAsia"/>
                <w:color w:val="auto"/>
                <w:sz w:val="20"/>
                <w:szCs w:val="20"/>
                <w:highlight w:val="yellow"/>
                <w:lang w:val="en-US" w:eastAsia="zh-CN"/>
              </w:rPr>
            </w:pPr>
            <w:r>
              <w:rPr>
                <w:rFonts w:hint="eastAsia" w:asciiTheme="minorEastAsia" w:hAnsiTheme="minorEastAsia"/>
                <w:color w:val="auto"/>
                <w:sz w:val="20"/>
                <w:szCs w:val="20"/>
                <w:highlight w:val="yellow"/>
                <w:lang w:val="en-US" w:eastAsia="zh-CN"/>
              </w:rPr>
              <w:t>16.中标人对服务人员进行岗前培训，岗前培训内容包括但不限于岗位职责、岗位要求</w:t>
            </w:r>
          </w:p>
        </w:tc>
        <w:tc>
          <w:tcPr>
            <w:tcW w:w="2246" w:type="dxa"/>
            <w:vAlign w:val="center"/>
          </w:tcPr>
          <w:p>
            <w:pPr>
              <w:rPr>
                <w:rFonts w:hint="default" w:asciiTheme="minorEastAsia" w:hAnsiTheme="minorEastAsia"/>
                <w:color w:val="auto"/>
                <w:sz w:val="20"/>
                <w:szCs w:val="20"/>
                <w:highlight w:val="yellow"/>
                <w:lang w:val="en-US" w:eastAsia="zh-CN"/>
              </w:rPr>
            </w:pPr>
            <w:r>
              <w:rPr>
                <w:rFonts w:hint="eastAsia" w:asciiTheme="minorEastAsia" w:hAnsiTheme="minorEastAsia"/>
                <w:color w:val="auto"/>
                <w:sz w:val="20"/>
                <w:szCs w:val="20"/>
                <w:highlight w:val="yellow"/>
                <w:lang w:val="en-US" w:eastAsia="zh-CN"/>
              </w:rPr>
              <w:t>入职前未进行岗前培训的扣1分/人次。</w:t>
            </w:r>
          </w:p>
        </w:tc>
        <w:tc>
          <w:tcPr>
            <w:tcW w:w="3999" w:type="dxa"/>
            <w:vAlign w:val="center"/>
          </w:tcPr>
          <w:p>
            <w:pPr>
              <w:rPr>
                <w:rFonts w:hint="eastAsia" w:asciiTheme="minorEastAsia" w:hAnsiTheme="minorEastAsia"/>
                <w:color w:val="auto"/>
                <w:sz w:val="20"/>
                <w:szCs w:val="20"/>
                <w:highlight w:val="yellow"/>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918" w:hRule="atLeast"/>
          <w:jc w:val="center"/>
        </w:trPr>
        <w:tc>
          <w:tcPr>
            <w:tcW w:w="950" w:type="dxa"/>
            <w:vAlign w:val="center"/>
          </w:tcPr>
          <w:p>
            <w:pPr>
              <w:rPr>
                <w:rFonts w:asciiTheme="minorEastAsia" w:hAnsiTheme="minorEastAsia"/>
                <w:color w:val="auto"/>
                <w:sz w:val="20"/>
                <w:szCs w:val="20"/>
              </w:rPr>
            </w:pPr>
          </w:p>
        </w:tc>
        <w:tc>
          <w:tcPr>
            <w:tcW w:w="2505" w:type="dxa"/>
            <w:vAlign w:val="center"/>
          </w:tcPr>
          <w:p>
            <w:pPr>
              <w:rPr>
                <w:rFonts w:hint="default" w:asciiTheme="minorEastAsia" w:hAnsiTheme="minorEastAsia"/>
                <w:color w:val="auto"/>
                <w:sz w:val="20"/>
                <w:szCs w:val="20"/>
                <w:highlight w:val="yellow"/>
                <w:lang w:val="en-US" w:eastAsia="zh-CN"/>
              </w:rPr>
            </w:pPr>
            <w:r>
              <w:rPr>
                <w:rFonts w:hint="eastAsia" w:asciiTheme="minorEastAsia" w:hAnsiTheme="minorEastAsia"/>
                <w:color w:val="auto"/>
                <w:sz w:val="20"/>
                <w:szCs w:val="20"/>
                <w:highlight w:val="yellow"/>
                <w:lang w:val="en-US" w:eastAsia="zh-CN"/>
              </w:rPr>
              <w:t>17.入职手续材料齐全</w:t>
            </w:r>
          </w:p>
        </w:tc>
        <w:tc>
          <w:tcPr>
            <w:tcW w:w="2246" w:type="dxa"/>
            <w:vAlign w:val="center"/>
          </w:tcPr>
          <w:p>
            <w:pPr>
              <w:rPr>
                <w:rFonts w:hint="default" w:asciiTheme="minorEastAsia" w:hAnsiTheme="minorEastAsia"/>
                <w:color w:val="auto"/>
                <w:sz w:val="20"/>
                <w:szCs w:val="20"/>
                <w:highlight w:val="yellow"/>
                <w:lang w:val="en-US" w:eastAsia="zh-CN"/>
              </w:rPr>
            </w:pPr>
            <w:r>
              <w:rPr>
                <w:rFonts w:hint="eastAsia" w:asciiTheme="minorEastAsia" w:hAnsiTheme="minorEastAsia"/>
                <w:color w:val="auto"/>
                <w:sz w:val="20"/>
                <w:szCs w:val="20"/>
                <w:highlight w:val="yellow"/>
                <w:lang w:val="en-US" w:eastAsia="zh-CN"/>
              </w:rPr>
              <w:t>扣1分/人次</w:t>
            </w:r>
          </w:p>
        </w:tc>
        <w:tc>
          <w:tcPr>
            <w:tcW w:w="3999" w:type="dxa"/>
            <w:vAlign w:val="center"/>
          </w:tcPr>
          <w:p>
            <w:pPr>
              <w:rPr>
                <w:rFonts w:hint="default" w:asciiTheme="minorEastAsia" w:hAnsiTheme="minorEastAsia"/>
                <w:color w:val="auto"/>
                <w:sz w:val="20"/>
                <w:szCs w:val="20"/>
                <w:highlight w:val="yellow"/>
                <w:lang w:val="en-US" w:eastAsia="zh-CN"/>
              </w:rPr>
            </w:pPr>
            <w:r>
              <w:rPr>
                <w:rFonts w:hint="eastAsia" w:asciiTheme="minorEastAsia" w:hAnsiTheme="minorEastAsia"/>
                <w:color w:val="auto"/>
                <w:sz w:val="20"/>
                <w:szCs w:val="20"/>
                <w:highlight w:val="yellow"/>
                <w:lang w:val="en-US" w:eastAsia="zh-CN"/>
              </w:rPr>
              <w:t>中标人按照采购人入职材料清单办理入职手续，并将入职材料复印给采购方备案。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80" w:hRule="atLeast"/>
          <w:jc w:val="center"/>
        </w:trPr>
        <w:tc>
          <w:tcPr>
            <w:tcW w:w="950" w:type="dxa"/>
            <w:vMerge w:val="restart"/>
            <w:vAlign w:val="center"/>
          </w:tcPr>
          <w:p>
            <w:pPr>
              <w:rPr>
                <w:rFonts w:asciiTheme="minorEastAsia" w:hAnsiTheme="minorEastAsia"/>
                <w:color w:val="auto"/>
                <w:sz w:val="20"/>
                <w:szCs w:val="20"/>
              </w:rPr>
            </w:pPr>
            <w:r>
              <w:rPr>
                <w:rFonts w:hint="eastAsia" w:asciiTheme="minorEastAsia" w:hAnsiTheme="minorEastAsia"/>
                <w:color w:val="auto"/>
                <w:sz w:val="20"/>
                <w:szCs w:val="20"/>
              </w:rPr>
              <w:t>二、日常工作</w:t>
            </w: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1</w:t>
            </w:r>
            <w:r>
              <w:rPr>
                <w:rFonts w:asciiTheme="minorEastAsia" w:hAnsiTheme="minorEastAsia"/>
                <w:color w:val="auto"/>
                <w:sz w:val="20"/>
                <w:szCs w:val="20"/>
              </w:rPr>
              <w:t>.</w:t>
            </w:r>
            <w:r>
              <w:rPr>
                <w:rFonts w:hint="eastAsia" w:asciiTheme="minorEastAsia" w:hAnsiTheme="minorEastAsia"/>
                <w:color w:val="auto"/>
                <w:sz w:val="20"/>
                <w:szCs w:val="20"/>
              </w:rPr>
              <w:t>员工不熟悉各项业务流程</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扣1分/人</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扣罚50元/人/次，采购人有权要求更换相关人员并追究有关责任，中标人应按采购人要求更换人员并承担相关责任。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80"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2</w:t>
            </w:r>
            <w:r>
              <w:rPr>
                <w:rFonts w:asciiTheme="minorEastAsia" w:hAnsiTheme="minorEastAsia"/>
                <w:color w:val="auto"/>
                <w:sz w:val="20"/>
                <w:szCs w:val="20"/>
              </w:rPr>
              <w:t>.</w:t>
            </w:r>
            <w:r>
              <w:rPr>
                <w:rFonts w:hint="eastAsia" w:asciiTheme="minorEastAsia" w:hAnsiTheme="minorEastAsia"/>
                <w:color w:val="auto"/>
                <w:sz w:val="20"/>
                <w:szCs w:val="20"/>
              </w:rPr>
              <w:t>员工不能按要求、按时完成本职工作</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扣3分/人/次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扣罚20</w:t>
            </w:r>
            <w:r>
              <w:rPr>
                <w:rFonts w:asciiTheme="minorEastAsia" w:hAnsiTheme="minorEastAsia"/>
                <w:color w:val="auto"/>
                <w:sz w:val="20"/>
                <w:szCs w:val="20"/>
              </w:rPr>
              <w:t>0</w:t>
            </w:r>
            <w:r>
              <w:rPr>
                <w:rFonts w:hint="eastAsia" w:asciiTheme="minorEastAsia" w:hAnsiTheme="minorEastAsia"/>
                <w:color w:val="auto"/>
                <w:sz w:val="20"/>
                <w:szCs w:val="20"/>
              </w:rPr>
              <w:t>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16"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3</w:t>
            </w:r>
            <w:r>
              <w:rPr>
                <w:rFonts w:asciiTheme="minorEastAsia" w:hAnsiTheme="minorEastAsia"/>
                <w:color w:val="auto"/>
                <w:sz w:val="20"/>
                <w:szCs w:val="20"/>
              </w:rPr>
              <w:t>.</w:t>
            </w:r>
            <w:r>
              <w:rPr>
                <w:rFonts w:hint="eastAsia" w:asciiTheme="minorEastAsia" w:hAnsiTheme="minorEastAsia"/>
                <w:color w:val="auto"/>
                <w:sz w:val="20"/>
                <w:szCs w:val="20"/>
              </w:rPr>
              <w:t>经核实的患者投诉事件中责任人</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扣3分/人/次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扣罚200元/人/次，采购人有权要求更换相关人员并追究有关责任，中标人应按采购人要求更换人员并承担相关责任。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80"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4</w:t>
            </w:r>
            <w:r>
              <w:rPr>
                <w:rFonts w:asciiTheme="minorEastAsia" w:hAnsiTheme="minorEastAsia"/>
                <w:color w:val="auto"/>
                <w:sz w:val="20"/>
                <w:szCs w:val="20"/>
              </w:rPr>
              <w:t>.</w:t>
            </w:r>
            <w:r>
              <w:rPr>
                <w:rFonts w:hint="eastAsia" w:asciiTheme="minorEastAsia" w:hAnsiTheme="minorEastAsia"/>
                <w:color w:val="auto"/>
                <w:sz w:val="20"/>
                <w:szCs w:val="20"/>
              </w:rPr>
              <w:t xml:space="preserve"> 经核实的医疗事故或医疗差错</w:t>
            </w:r>
            <w:r>
              <w:rPr>
                <w:rFonts w:hint="eastAsia" w:asciiTheme="minorEastAsia" w:hAnsiTheme="minorEastAsia"/>
                <w:color w:val="auto"/>
                <w:sz w:val="20"/>
                <w:szCs w:val="20"/>
                <w:lang w:eastAsia="zh-CN"/>
              </w:rPr>
              <w:t>。</w:t>
            </w:r>
          </w:p>
        </w:tc>
        <w:tc>
          <w:tcPr>
            <w:tcW w:w="2246"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扣1</w:t>
            </w:r>
            <w:r>
              <w:rPr>
                <w:rFonts w:asciiTheme="minorEastAsia" w:hAnsiTheme="minorEastAsia"/>
                <w:color w:val="auto"/>
                <w:sz w:val="20"/>
                <w:szCs w:val="20"/>
              </w:rPr>
              <w:t>0</w:t>
            </w:r>
            <w:r>
              <w:rPr>
                <w:rFonts w:hint="eastAsia" w:asciiTheme="minorEastAsia" w:hAnsiTheme="minorEastAsia"/>
                <w:color w:val="auto"/>
                <w:sz w:val="20"/>
                <w:szCs w:val="20"/>
              </w:rPr>
              <w:t>-15分/宗（根据事件性质、严重程度和当事人承担责任）</w:t>
            </w:r>
            <w:r>
              <w:rPr>
                <w:rFonts w:hint="eastAsia" w:asciiTheme="minorEastAsia" w:hAnsiTheme="minorEastAsia"/>
                <w:color w:val="auto"/>
                <w:sz w:val="20"/>
                <w:szCs w:val="20"/>
                <w:lang w:eastAsia="zh-CN"/>
              </w:rPr>
              <w:t>。</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w:t>
            </w:r>
            <w:r>
              <w:rPr>
                <w:rFonts w:asciiTheme="minorEastAsia" w:hAnsiTheme="minorEastAsia"/>
                <w:color w:val="auto"/>
                <w:sz w:val="20"/>
                <w:szCs w:val="20"/>
              </w:rPr>
              <w:t>2000</w:t>
            </w:r>
            <w:r>
              <w:rPr>
                <w:rFonts w:hint="eastAsia" w:asciiTheme="minorEastAsia" w:hAnsiTheme="minorEastAsia"/>
                <w:color w:val="auto"/>
                <w:sz w:val="20"/>
                <w:szCs w:val="20"/>
              </w:rPr>
              <w:t>元-</w:t>
            </w:r>
            <w:r>
              <w:rPr>
                <w:rFonts w:asciiTheme="minorEastAsia" w:hAnsiTheme="minorEastAsia"/>
                <w:color w:val="auto"/>
                <w:sz w:val="20"/>
                <w:szCs w:val="20"/>
              </w:rPr>
              <w:t>5000</w:t>
            </w:r>
            <w:r>
              <w:rPr>
                <w:rFonts w:hint="eastAsia" w:asciiTheme="minorEastAsia" w:hAnsiTheme="minorEastAsia"/>
                <w:color w:val="auto"/>
                <w:sz w:val="20"/>
                <w:szCs w:val="20"/>
              </w:rPr>
              <w:t>元/宗，采购人有权要求更换相关人员并追究有关责任，中标人应按采购人要求更换人员并承担相关责任。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11" w:hRule="atLeast"/>
          <w:jc w:val="center"/>
        </w:trPr>
        <w:tc>
          <w:tcPr>
            <w:tcW w:w="950" w:type="dxa"/>
            <w:vMerge w:val="continue"/>
            <w:vAlign w:val="center"/>
          </w:tcPr>
          <w:p>
            <w:pPr>
              <w:rPr>
                <w:rFonts w:asciiTheme="minorEastAsia" w:hAnsiTheme="minorEastAsia"/>
                <w:color w:val="auto"/>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5</w:t>
            </w:r>
            <w:r>
              <w:rPr>
                <w:rFonts w:asciiTheme="minorEastAsia" w:hAnsiTheme="minorEastAsia"/>
                <w:color w:val="auto"/>
                <w:sz w:val="20"/>
                <w:szCs w:val="20"/>
              </w:rPr>
              <w:t>.</w:t>
            </w:r>
            <w:r>
              <w:rPr>
                <w:rFonts w:hint="eastAsia" w:asciiTheme="minorEastAsia" w:hAnsiTheme="minorEastAsia"/>
                <w:color w:val="auto"/>
                <w:sz w:val="20"/>
                <w:szCs w:val="20"/>
              </w:rPr>
              <w:t>违反信息安全，泄露医院或患者相关信息</w:t>
            </w:r>
            <w:r>
              <w:rPr>
                <w:rFonts w:hint="eastAsia" w:asciiTheme="minorEastAsia" w:hAnsiTheme="minorEastAsia"/>
                <w:color w:val="auto"/>
                <w:sz w:val="20"/>
                <w:szCs w:val="20"/>
                <w:lang w:eastAsia="zh-CN"/>
              </w:rPr>
              <w:t>。</w:t>
            </w:r>
          </w:p>
        </w:tc>
        <w:tc>
          <w:tcPr>
            <w:tcW w:w="2246"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扣1</w:t>
            </w:r>
            <w:r>
              <w:rPr>
                <w:rFonts w:asciiTheme="minorEastAsia" w:hAnsiTheme="minorEastAsia"/>
                <w:color w:val="auto"/>
                <w:sz w:val="20"/>
                <w:szCs w:val="20"/>
              </w:rPr>
              <w:t>0</w:t>
            </w:r>
            <w:r>
              <w:rPr>
                <w:rFonts w:hint="eastAsia" w:asciiTheme="minorEastAsia" w:hAnsiTheme="minorEastAsia"/>
                <w:color w:val="auto"/>
                <w:sz w:val="20"/>
                <w:szCs w:val="20"/>
              </w:rPr>
              <w:t>-15分/宗（根据事件性质、严重程度和当事人承担责任）</w:t>
            </w:r>
            <w:r>
              <w:rPr>
                <w:rFonts w:hint="eastAsia" w:asciiTheme="minorEastAsia" w:hAnsiTheme="minorEastAsia"/>
                <w:color w:val="auto"/>
                <w:sz w:val="20"/>
                <w:szCs w:val="20"/>
                <w:lang w:eastAsia="zh-CN"/>
              </w:rPr>
              <w:t>。</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w:t>
            </w:r>
            <w:r>
              <w:rPr>
                <w:rFonts w:asciiTheme="minorEastAsia" w:hAnsiTheme="minorEastAsia"/>
                <w:color w:val="auto"/>
                <w:sz w:val="20"/>
                <w:szCs w:val="20"/>
              </w:rPr>
              <w:t>2000</w:t>
            </w:r>
            <w:r>
              <w:rPr>
                <w:rFonts w:hint="eastAsia" w:asciiTheme="minorEastAsia" w:hAnsiTheme="minorEastAsia"/>
                <w:color w:val="auto"/>
                <w:sz w:val="20"/>
                <w:szCs w:val="20"/>
              </w:rPr>
              <w:t>元-</w:t>
            </w:r>
            <w:r>
              <w:rPr>
                <w:rFonts w:asciiTheme="minorEastAsia" w:hAnsiTheme="minorEastAsia"/>
                <w:color w:val="auto"/>
                <w:sz w:val="20"/>
                <w:szCs w:val="20"/>
              </w:rPr>
              <w:t>5000</w:t>
            </w:r>
            <w:r>
              <w:rPr>
                <w:rFonts w:hint="eastAsia" w:asciiTheme="minorEastAsia" w:hAnsiTheme="minorEastAsia"/>
                <w:color w:val="auto"/>
                <w:sz w:val="20"/>
                <w:szCs w:val="20"/>
              </w:rPr>
              <w:t>元/宗，采购人有权要求更换相关人员并追究有关责任，中标人应按采购人要求更换人员并承担相关责任。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2282" w:hRule="atLeast"/>
          <w:jc w:val="center"/>
        </w:trPr>
        <w:tc>
          <w:tcPr>
            <w:tcW w:w="9700" w:type="dxa"/>
            <w:gridSpan w:val="4"/>
            <w:vAlign w:val="center"/>
          </w:tcPr>
          <w:p>
            <w:pPr>
              <w:rPr>
                <w:color w:val="auto"/>
              </w:rPr>
            </w:pPr>
            <w:r>
              <w:rPr>
                <w:rFonts w:hint="eastAsia"/>
                <w:color w:val="auto"/>
              </w:rPr>
              <w:t>被考核单位负责人确认：                                委托方考核:</w:t>
            </w:r>
          </w:p>
          <w:p>
            <w:pPr>
              <w:rPr>
                <w:color w:val="auto"/>
              </w:rPr>
            </w:pPr>
          </w:p>
          <w:p>
            <w:pPr>
              <w:rPr>
                <w:color w:val="auto"/>
              </w:rPr>
            </w:pPr>
            <w:r>
              <w:rPr>
                <w:rFonts w:hint="eastAsia"/>
                <w:color w:val="auto"/>
              </w:rPr>
              <w:t>签名及盖章：</w:t>
            </w:r>
            <w:r>
              <w:rPr>
                <w:rFonts w:hint="eastAsia"/>
                <w:color w:val="auto"/>
                <w:u w:val="single"/>
              </w:rPr>
              <w:t xml:space="preserve">               </w:t>
            </w:r>
            <w:r>
              <w:rPr>
                <w:rFonts w:hint="eastAsia"/>
                <w:color w:val="auto"/>
              </w:rPr>
              <w:t xml:space="preserve">                           签名及盖章：</w:t>
            </w:r>
            <w:r>
              <w:rPr>
                <w:rFonts w:hint="eastAsia"/>
                <w:color w:val="auto"/>
                <w:u w:val="single"/>
              </w:rPr>
              <w:t xml:space="preserve">              </w:t>
            </w:r>
          </w:p>
          <w:p>
            <w:pPr>
              <w:rPr>
                <w:color w:val="auto"/>
                <w:u w:val="single"/>
              </w:rPr>
            </w:pPr>
          </w:p>
          <w:p>
            <w:pPr>
              <w:rPr>
                <w:color w:val="auto"/>
              </w:rPr>
            </w:pPr>
            <w:r>
              <w:rPr>
                <w:rFonts w:hint="eastAsia"/>
                <w:color w:val="auto"/>
              </w:rPr>
              <w:t xml:space="preserve">  </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tc>
      </w:tr>
    </w:tbl>
    <w:p>
      <w:pPr>
        <w:rPr>
          <w:rFonts w:ascii="宋体" w:hAnsi="宋体" w:cs="宋体"/>
          <w:color w:val="auto"/>
          <w:sz w:val="20"/>
          <w:szCs w:val="20"/>
        </w:rPr>
      </w:pPr>
      <w:r>
        <w:rPr>
          <w:rFonts w:hint="eastAsia" w:ascii="宋体" w:hAnsi="宋体" w:cs="宋体"/>
          <w:color w:val="auto"/>
          <w:sz w:val="20"/>
          <w:szCs w:val="20"/>
        </w:rPr>
        <w:t>考核执行说明：</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auto"/>
          <w:szCs w:val="21"/>
        </w:rPr>
      </w:pPr>
      <w:r>
        <w:rPr>
          <w:rFonts w:hint="eastAsia" w:ascii="宋体" w:hAnsi="宋体" w:cs="宋体"/>
          <w:color w:val="auto"/>
          <w:sz w:val="20"/>
          <w:szCs w:val="20"/>
        </w:rPr>
        <w:t>采购人每月按上述评分细则对服务项目进行综合考评检查，采用100分制。考核评分结果达到</w:t>
      </w:r>
      <w:r>
        <w:rPr>
          <w:rFonts w:hint="eastAsia" w:ascii="宋体" w:hAnsi="宋体" w:cs="宋体"/>
          <w:color w:val="auto"/>
          <w:sz w:val="20"/>
          <w:szCs w:val="20"/>
          <w:highlight w:val="yellow"/>
        </w:rPr>
        <w:t>80分（含80分）以上为“合格”</w:t>
      </w:r>
      <w:r>
        <w:rPr>
          <w:rFonts w:hint="eastAsia" w:ascii="宋体" w:hAnsi="宋体" w:cs="宋体"/>
          <w:color w:val="auto"/>
          <w:sz w:val="20"/>
          <w:szCs w:val="20"/>
        </w:rPr>
        <w:t>；70-80分的为“基本合格”，须按采购人要求进行整改；少于70分的为“不合格”，合同期内累积两次不合格的，采购人有权终止合同而无需对中标人进行任何赔偿。根据有关要求和规定，结合实际情况，采购人有权对此考核表指标内容、分值、考核办法作必要调整。</w:t>
      </w:r>
    </w:p>
    <w:p>
      <w:pPr>
        <w:rPr>
          <w:rFonts w:hint="default"/>
          <w:color w:val="auto"/>
          <w:lang w:val="en-US" w:eastAsia="zh-CN"/>
        </w:rPr>
      </w:pPr>
      <w:r>
        <w:rPr>
          <w:rFonts w:hint="eastAsia"/>
          <w:color w:val="auto"/>
          <w:lang w:val="en-US" w:eastAsia="zh-CN"/>
        </w:rPr>
        <w:t xml:space="preserve">  </w:t>
      </w:r>
    </w:p>
    <w:p>
      <w:pPr>
        <w:widowControl/>
        <w:tabs>
          <w:tab w:val="left" w:pos="424"/>
          <w:tab w:val="left" w:pos="3240"/>
        </w:tabs>
        <w:spacing w:line="460" w:lineRule="exact"/>
        <w:ind w:firstLine="0" w:firstLineChars="0"/>
        <w:jc w:val="left"/>
        <w:rPr>
          <w:rFonts w:hint="default" w:ascii="宋体" w:hAnsi="宋体" w:eastAsia="宋体" w:cs="宋体"/>
          <w:b w:val="0"/>
          <w:color w:val="auto"/>
          <w:sz w:val="20"/>
          <w:szCs w:val="20"/>
          <w:lang w:val="en-US" w:eastAsia="zh-CN"/>
        </w:rPr>
      </w:pPr>
      <w:r>
        <w:rPr>
          <w:rFonts w:hint="eastAsia" w:ascii="宋体" w:hAnsi="宋体" w:cs="宋体"/>
          <w:b w:val="0"/>
          <w:color w:val="auto"/>
          <w:sz w:val="20"/>
          <w:szCs w:val="20"/>
          <w:lang w:val="en-US" w:eastAsia="zh-CN"/>
        </w:rPr>
        <w:t>2</w:t>
      </w:r>
      <w:r>
        <w:rPr>
          <w:rFonts w:hint="eastAsia" w:ascii="宋体" w:hAnsi="宋体" w:cs="宋体"/>
          <w:b w:val="0"/>
          <w:color w:val="auto"/>
          <w:sz w:val="20"/>
          <w:szCs w:val="20"/>
        </w:rPr>
        <w:t>、岗位</w:t>
      </w:r>
      <w:r>
        <w:rPr>
          <w:rFonts w:hint="eastAsia" w:ascii="宋体" w:hAnsi="宋体" w:cs="宋体"/>
          <w:b w:val="0"/>
          <w:color w:val="auto"/>
          <w:sz w:val="20"/>
          <w:szCs w:val="20"/>
          <w:lang w:val="en-US" w:eastAsia="zh-CN"/>
        </w:rPr>
        <w:t>考核基本要求</w:t>
      </w:r>
    </w:p>
    <w:tbl>
      <w:tblPr>
        <w:tblStyle w:val="11"/>
        <w:tblW w:w="10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306"/>
        <w:gridCol w:w="1001"/>
        <w:gridCol w:w="1201"/>
        <w:gridCol w:w="2363"/>
        <w:gridCol w:w="4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编号</w:t>
            </w:r>
          </w:p>
        </w:tc>
        <w:tc>
          <w:tcPr>
            <w:tcW w:w="1306"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服务人员</w:t>
            </w:r>
          </w:p>
        </w:tc>
        <w:tc>
          <w:tcPr>
            <w:tcW w:w="10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学历</w:t>
            </w:r>
          </w:p>
        </w:tc>
        <w:tc>
          <w:tcPr>
            <w:tcW w:w="12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工作部门</w:t>
            </w:r>
          </w:p>
        </w:tc>
        <w:tc>
          <w:tcPr>
            <w:tcW w:w="2363"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专业（技能）要求</w:t>
            </w:r>
          </w:p>
        </w:tc>
        <w:tc>
          <w:tcPr>
            <w:tcW w:w="4036"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w:t>
            </w:r>
            <w:r>
              <w:rPr>
                <w:rFonts w:hint="eastAsia" w:ascii="宋体" w:hAnsi="宋体" w:cs="宋体"/>
                <w:b/>
                <w:bCs/>
                <w:i w:val="0"/>
                <w:iCs w:val="0"/>
                <w:color w:val="auto"/>
                <w:kern w:val="0"/>
                <w:sz w:val="22"/>
                <w:szCs w:val="22"/>
                <w:u w:val="none"/>
                <w:lang w:val="en-US" w:eastAsia="zh-CN" w:bidi="ar"/>
              </w:rPr>
              <w:t>考核基本</w:t>
            </w:r>
            <w:r>
              <w:rPr>
                <w:rFonts w:hint="eastAsia" w:ascii="宋体" w:hAnsi="宋体" w:eastAsia="宋体" w:cs="宋体"/>
                <w:b/>
                <w:bCs/>
                <w:i w:val="0"/>
                <w:iCs w:val="0"/>
                <w:color w:val="auto"/>
                <w:kern w:val="0"/>
                <w:sz w:val="22"/>
                <w:szCs w:val="22"/>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w:t>
            </w:r>
            <w:r>
              <w:rPr>
                <w:rFonts w:hint="eastAsia" w:ascii="宋体" w:hAnsi="宋体" w:cs="宋体"/>
                <w:i w:val="0"/>
                <w:iCs w:val="0"/>
                <w:color w:val="auto"/>
                <w:kern w:val="0"/>
                <w:sz w:val="22"/>
                <w:szCs w:val="22"/>
                <w:u w:val="none"/>
                <w:lang w:val="en-US" w:eastAsia="zh-CN" w:bidi="ar"/>
              </w:rPr>
              <w:t>疗辅助岗位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中医、中西医、临床医学相关专业，持执业医师资格证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熟悉专业技术规范</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具有扎实的本专业理论基础和实践技能。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w:t>
            </w:r>
            <w:r>
              <w:rPr>
                <w:rFonts w:hint="eastAsia" w:ascii="宋体" w:hAnsi="宋体" w:cs="宋体"/>
                <w:i w:val="0"/>
                <w:iCs w:val="0"/>
                <w:color w:val="auto"/>
                <w:kern w:val="0"/>
                <w:sz w:val="22"/>
                <w:szCs w:val="22"/>
                <w:u w:val="none"/>
                <w:lang w:val="en-US" w:eastAsia="zh-CN" w:bidi="ar"/>
              </w:rPr>
              <w:t>疗辅助岗位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硕士</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中医、中西医、临床医学相关专业，持执业医师资格证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熟悉专业技术规范</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具有扎实的本专业理论基础和实践技能。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药剂</w:t>
            </w:r>
            <w:r>
              <w:rPr>
                <w:rFonts w:hint="eastAsia" w:ascii="宋体" w:hAnsi="宋体" w:cs="宋体"/>
                <w:i w:val="0"/>
                <w:iCs w:val="0"/>
                <w:color w:val="auto"/>
                <w:kern w:val="0"/>
                <w:sz w:val="22"/>
                <w:szCs w:val="22"/>
                <w:u w:val="none"/>
                <w:lang w:val="en-US" w:eastAsia="zh-CN" w:bidi="ar"/>
              </w:rPr>
              <w:t>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药剂</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中药学、药学专业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熟悉专业技术规范和规章制度；具备扎实的中药或药学理论基础，能胜任药品的调剂、发放及药物咨询工作。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护理辅助岗位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持护士执业资格证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熟悉专业技术规范</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具有扎实的本专业理论基础和实践技能</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热爱护理工作。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护理辅助岗位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持护士执业资格证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熟悉专业技术规范</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具有扎实的本专业理论基础和实践技能</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热爱护理工作。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护理辅助岗位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硕士</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持护士执业资格证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熟悉专业技术规范</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具有扎实的本专业理论基础和实践技能</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热爱护理工作。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医技助理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医技</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临床医学专业，持专业技术资格证、技能上岗证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熟悉专业技术规范</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具有扎实的本专业理论基础和实践技能。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文员（行政后勤管理方向）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行政管理、财务、人力资源，公共事业管理、信息技术、设备维修、医疗相关专业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熟练操作办公自动化设备，有较强的信息处理能力，有较强的文字写作能力，能学习掌握医院各项管理规程并独立开展工作。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文员（行政后勤管理方向）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行政管理、财务、人力资源，公共事业管理、信息技术、设备维修、医疗相关专业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熟练操作办公自动化设备，有较强的信息处理能力，有较强的文字写作能力，能学习掌握医院各项管理规程并独立开展工作。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文员（行政后勤管理方向）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硕士</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行政管理、财务、人力资源，公共事业管理、信息技术、设备维修、医疗相关专业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熟练操作办公自动化设备，有较强的信息处理能力，有较强的文字写作能力，能学习掌握医院各项管理规程并独立开展工作。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文员（科室文秘方向）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熟练操作办公自动化设备，有较强的信息处理能力和资料收集整理管理能力，能学习掌握医院各项管理规程并独立开展工作。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文员（科室文秘方向）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熟练操作办公自动化设备，有较强的信息处理能力和资料收集整理管理能力，能学习掌握医院各项管理规程并独立开展工作。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文员（咨询服务方向）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有服务意识</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能学习掌握医院各项服务规程并独立开展咨询服务工作。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文员（咨询服务方向）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有服务意识</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能学习掌握医院各项服务规程并独立开展咨询服务工作。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会计员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负责后勤部门日常财务数据管理，统计、监督、反馈等工作。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物价员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能熟练运用信息化办公软件及设备，具有良好的文字表达能力，负责医院物价收费项目管理及日常事务性工作。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仓库管理员（设备）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具有责任心、细心、有条理，熟悉仓库管理流程；熟悉仓储进出操作管理流程；熟悉电脑系统操作。熟悉库存盘点、单据的开具、整理及归档。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仓库管理员（药剂）</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具有责任心、细心、有条理，能吃苦耐劳，服从管理。熟悉仓库管理流程；熟悉仓储进出操作管理流程；熟悉电脑系统操作。熟悉库存盘点、单据的开具、整理及归档。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仓库管理员（后勤）</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具有责任心、细心、有条理，能吃苦耐劳，服从管理。熟悉仓库管理流程；熟悉仓储进出操作管理流程；熟悉电脑系统操作。熟悉库存盘点、单据的开具、整理及归档。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配送员（后勤）</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具有责任心、细心、有较好的沟通能力与应变能力，吃苦耐劳，服从管理，熟悉医院物资配送工作流程，负责物资配送工作。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配送员（设备）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具有责任心、细心、有较好的沟通能力与应变能力，吃苦耐劳，服从管理，熟悉医院物资配送工作流程，负责物资配送工作。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配送员（药剂）</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具有责任心、细心、有较好的沟通能力与应变能力，吃苦耐劳，服从管理，熟悉医院物资配送工作流程，负责物资配送工作。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收费员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收费</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具有责任心，品德优良，思路清晰，待人热情，服从领导；电脑操作熟，能掌握收银系统，熟悉医保报销业务，熟悉各项收费标准。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外包项目监督员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熟悉医院后勤外包项目工作规程，并进行有效监督和反馈。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宿舍管理员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具体负责医院宿舍调配、宿舍人员出入登记、宿舍安全管理日常巡查及督导、宿舍卫生监督、服务沟通住宿人员，收集合理意见建议汇报总务部解决。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技术工人（锅炉工）</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持锅炉安全操作（管理）上岗证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具有2年以上锅炉操作工作经验，同时具备水处理操作证者优先。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技术工人（司机）</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持A类驾驶证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具有5年以上驾龄，具有专业驾驶员工作经验者优先。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技术工人（电工）</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持高级电工上岗证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具备2年以上高压操作或高低压电气设备维修、保养等工作经验。负责监管医院水电服务、高压电房维保、大型机电设备维保等项目以及水电使用数据抄录统计等工作。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技术工人（污水处理）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持污水处理上岗证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按照操作规程，负责污水处理站的日常工作，监控机器运作，按时按量投放消毒药剂、送样检验，配合各环境监管部门的检查等工作。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技术工人（氧气工）</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持有氧气设备安全作业（管理）证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负责中心氧房日常工作，监控液氧槽罐压力，配送瓶装氧，抄录氧气使用数据并统计上报等工作。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消毒员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卫生技术相关专业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具有消毒灭菌技术上岗证者优先。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消防管理员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消防设施操作员证或建（构）筑消防员资格证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负责协作做好消防管理工作及安保督导、日常事务性工作。具有2年以上消防领域从业经验者优先。</w:t>
            </w:r>
          </w:p>
        </w:tc>
      </w:tr>
    </w:tbl>
    <w:p>
      <w:pPr>
        <w:pStyle w:val="22"/>
        <w:widowControl/>
        <w:tabs>
          <w:tab w:val="left" w:pos="315"/>
          <w:tab w:val="left" w:pos="426"/>
          <w:tab w:val="left" w:pos="993"/>
          <w:tab w:val="left" w:pos="1592"/>
        </w:tabs>
        <w:snapToGrid w:val="0"/>
        <w:spacing w:line="460" w:lineRule="exact"/>
        <w:ind w:right="-237" w:firstLine="0" w:firstLineChars="0"/>
        <w:jc w:val="left"/>
        <w:rPr>
          <w:rFonts w:hint="eastAsia" w:ascii="宋体" w:hAnsi="宋体" w:cs="仿宋"/>
          <w:b/>
          <w:color w:val="auto"/>
          <w:szCs w:val="21"/>
        </w:rPr>
      </w:pPr>
      <w:r>
        <w:rPr>
          <w:rFonts w:hint="eastAsia" w:ascii="宋体" w:hAnsi="宋体" w:cs="仿宋"/>
          <w:b/>
          <w:color w:val="auto"/>
          <w:szCs w:val="21"/>
        </w:rPr>
        <w:t>注：以上岗位原则上要求</w:t>
      </w:r>
      <w:r>
        <w:rPr>
          <w:rFonts w:hint="eastAsia" w:ascii="宋体" w:hAnsi="宋体" w:cs="仿宋"/>
          <w:b/>
          <w:color w:val="auto"/>
          <w:szCs w:val="21"/>
          <w:lang w:val="en-US" w:eastAsia="zh-CN"/>
        </w:rPr>
        <w:t>应聘</w:t>
      </w:r>
      <w:r>
        <w:rPr>
          <w:rFonts w:hint="eastAsia" w:ascii="宋体" w:hAnsi="宋体" w:cs="仿宋"/>
          <w:b/>
          <w:color w:val="auto"/>
          <w:szCs w:val="21"/>
        </w:rPr>
        <w:t>年龄不超过35岁，应聘人员条件特别优秀的，经采购人同意可适当放宽。</w:t>
      </w:r>
    </w:p>
    <w:p>
      <w:pPr>
        <w:pStyle w:val="22"/>
        <w:widowControl/>
        <w:tabs>
          <w:tab w:val="left" w:pos="315"/>
          <w:tab w:val="left" w:pos="426"/>
          <w:tab w:val="left" w:pos="993"/>
          <w:tab w:val="left" w:pos="1592"/>
        </w:tabs>
        <w:snapToGrid w:val="0"/>
        <w:spacing w:line="460" w:lineRule="exact"/>
        <w:ind w:right="-237" w:firstLine="0" w:firstLineChars="0"/>
        <w:jc w:val="left"/>
        <w:rPr>
          <w:rFonts w:hint="default" w:ascii="宋体" w:hAnsi="宋体" w:eastAsia="宋体" w:cs="仿宋"/>
          <w:b w:val="0"/>
          <w:bCs/>
          <w:color w:val="auto"/>
          <w:szCs w:val="21"/>
          <w:lang w:val="en-US" w:eastAsia="zh-CN"/>
        </w:rPr>
      </w:pPr>
      <w:r>
        <w:rPr>
          <w:rFonts w:hint="eastAsia" w:ascii="宋体" w:hAnsi="宋体" w:cs="仿宋"/>
          <w:b w:val="0"/>
          <w:bCs/>
          <w:color w:val="auto"/>
          <w:szCs w:val="21"/>
          <w:lang w:val="en-US" w:eastAsia="zh-CN"/>
        </w:rPr>
        <w:t>3、分类岗位日常考核评分表（另附）</w:t>
      </w:r>
    </w:p>
    <w:p>
      <w:pPr>
        <w:rPr>
          <w:rFonts w:hint="default"/>
          <w:color w:val="auto"/>
          <w:lang w:val="en-US" w:eastAsia="zh-CN"/>
        </w:rPr>
      </w:pPr>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3751"/>
      <w:docPartObj>
        <w:docPartGallery w:val="autotext"/>
      </w:docPartObj>
    </w:sdtPr>
    <w:sdtContent>
      <w:p>
        <w:pPr>
          <w:pStyle w:val="8"/>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FBAEA"/>
    <w:multiLevelType w:val="singleLevel"/>
    <w:tmpl w:val="3AEFBAEA"/>
    <w:lvl w:ilvl="0" w:tentative="0">
      <w:start w:val="2"/>
      <w:numFmt w:val="chineseCounting"/>
      <w:suff w:val="nothing"/>
      <w:lvlText w:val="%1、"/>
      <w:lvlJc w:val="left"/>
      <w:rPr>
        <w:rFonts w:hint="eastAsia"/>
      </w:rPr>
    </w:lvl>
  </w:abstractNum>
  <w:abstractNum w:abstractNumId="1">
    <w:nsid w:val="4ADF614C"/>
    <w:multiLevelType w:val="singleLevel"/>
    <w:tmpl w:val="4ADF614C"/>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YWE4ZmRlMDc1ODk1ZGI5Yjc5YzNmNGU2OGI2ZTAifQ=="/>
  </w:docVars>
  <w:rsids>
    <w:rsidRoot w:val="00125D54"/>
    <w:rsid w:val="00001860"/>
    <w:rsid w:val="000042E1"/>
    <w:rsid w:val="00031ECA"/>
    <w:rsid w:val="0004450A"/>
    <w:rsid w:val="00044F45"/>
    <w:rsid w:val="00046315"/>
    <w:rsid w:val="00047C3F"/>
    <w:rsid w:val="000524BC"/>
    <w:rsid w:val="0005735D"/>
    <w:rsid w:val="0006662B"/>
    <w:rsid w:val="00073B6C"/>
    <w:rsid w:val="00081735"/>
    <w:rsid w:val="00086E3D"/>
    <w:rsid w:val="000A750D"/>
    <w:rsid w:val="000C5858"/>
    <w:rsid w:val="000E0169"/>
    <w:rsid w:val="0010660C"/>
    <w:rsid w:val="0012098D"/>
    <w:rsid w:val="00125D54"/>
    <w:rsid w:val="001324CC"/>
    <w:rsid w:val="0013390A"/>
    <w:rsid w:val="0014203F"/>
    <w:rsid w:val="00150B0D"/>
    <w:rsid w:val="00167295"/>
    <w:rsid w:val="0017473F"/>
    <w:rsid w:val="00177E1E"/>
    <w:rsid w:val="00180FAD"/>
    <w:rsid w:val="00184A8F"/>
    <w:rsid w:val="00197E6C"/>
    <w:rsid w:val="001A42C6"/>
    <w:rsid w:val="001B0682"/>
    <w:rsid w:val="001B1B24"/>
    <w:rsid w:val="001D2177"/>
    <w:rsid w:val="001D6FDF"/>
    <w:rsid w:val="001D75FB"/>
    <w:rsid w:val="001F1715"/>
    <w:rsid w:val="001F41A3"/>
    <w:rsid w:val="001F614A"/>
    <w:rsid w:val="001F7860"/>
    <w:rsid w:val="00204EEE"/>
    <w:rsid w:val="00220877"/>
    <w:rsid w:val="00232358"/>
    <w:rsid w:val="0024173F"/>
    <w:rsid w:val="00262BC1"/>
    <w:rsid w:val="002743C8"/>
    <w:rsid w:val="002925C8"/>
    <w:rsid w:val="002B2A26"/>
    <w:rsid w:val="002B4454"/>
    <w:rsid w:val="002C20F4"/>
    <w:rsid w:val="002C74D7"/>
    <w:rsid w:val="002C79AB"/>
    <w:rsid w:val="002E72CF"/>
    <w:rsid w:val="0031729D"/>
    <w:rsid w:val="003316C1"/>
    <w:rsid w:val="003350AF"/>
    <w:rsid w:val="0035198C"/>
    <w:rsid w:val="00351C09"/>
    <w:rsid w:val="00363F6D"/>
    <w:rsid w:val="0037461A"/>
    <w:rsid w:val="00384331"/>
    <w:rsid w:val="00396DCA"/>
    <w:rsid w:val="003A007C"/>
    <w:rsid w:val="003C66F3"/>
    <w:rsid w:val="003C69B0"/>
    <w:rsid w:val="003D1C40"/>
    <w:rsid w:val="0041116D"/>
    <w:rsid w:val="00412BCA"/>
    <w:rsid w:val="00421BE9"/>
    <w:rsid w:val="00431C0C"/>
    <w:rsid w:val="00445517"/>
    <w:rsid w:val="00450CF2"/>
    <w:rsid w:val="00452D9E"/>
    <w:rsid w:val="00453ADB"/>
    <w:rsid w:val="004573D3"/>
    <w:rsid w:val="00465861"/>
    <w:rsid w:val="00486CE1"/>
    <w:rsid w:val="004A44F2"/>
    <w:rsid w:val="004C6989"/>
    <w:rsid w:val="004C6F8D"/>
    <w:rsid w:val="004C7121"/>
    <w:rsid w:val="004C7FCB"/>
    <w:rsid w:val="004D450C"/>
    <w:rsid w:val="004D76FA"/>
    <w:rsid w:val="004E5C7F"/>
    <w:rsid w:val="004E71F2"/>
    <w:rsid w:val="004F07E3"/>
    <w:rsid w:val="004F3428"/>
    <w:rsid w:val="00513935"/>
    <w:rsid w:val="00523481"/>
    <w:rsid w:val="0053385D"/>
    <w:rsid w:val="0054002F"/>
    <w:rsid w:val="0054017A"/>
    <w:rsid w:val="005412FA"/>
    <w:rsid w:val="005468CC"/>
    <w:rsid w:val="00551FE0"/>
    <w:rsid w:val="0055340C"/>
    <w:rsid w:val="00553606"/>
    <w:rsid w:val="00555F22"/>
    <w:rsid w:val="005577AA"/>
    <w:rsid w:val="00563FF0"/>
    <w:rsid w:val="00581BB0"/>
    <w:rsid w:val="005862C6"/>
    <w:rsid w:val="005923E2"/>
    <w:rsid w:val="00597199"/>
    <w:rsid w:val="005A1D31"/>
    <w:rsid w:val="005B2D8E"/>
    <w:rsid w:val="005B5560"/>
    <w:rsid w:val="005B6041"/>
    <w:rsid w:val="005C1A90"/>
    <w:rsid w:val="005E0C5B"/>
    <w:rsid w:val="005E1629"/>
    <w:rsid w:val="005E7CCF"/>
    <w:rsid w:val="005F13D9"/>
    <w:rsid w:val="005F65C5"/>
    <w:rsid w:val="006016B1"/>
    <w:rsid w:val="006132DC"/>
    <w:rsid w:val="00617A6B"/>
    <w:rsid w:val="006236E1"/>
    <w:rsid w:val="00630C76"/>
    <w:rsid w:val="00632F1B"/>
    <w:rsid w:val="006360FE"/>
    <w:rsid w:val="00641064"/>
    <w:rsid w:val="00643AD9"/>
    <w:rsid w:val="0064429F"/>
    <w:rsid w:val="0065011C"/>
    <w:rsid w:val="006537EB"/>
    <w:rsid w:val="00666261"/>
    <w:rsid w:val="0066671B"/>
    <w:rsid w:val="00667E89"/>
    <w:rsid w:val="00680F4B"/>
    <w:rsid w:val="00682296"/>
    <w:rsid w:val="006A157A"/>
    <w:rsid w:val="006C0A8B"/>
    <w:rsid w:val="006C23F2"/>
    <w:rsid w:val="006D0DD7"/>
    <w:rsid w:val="006D1966"/>
    <w:rsid w:val="006E7877"/>
    <w:rsid w:val="006F6021"/>
    <w:rsid w:val="006F6920"/>
    <w:rsid w:val="007222AF"/>
    <w:rsid w:val="00732B1C"/>
    <w:rsid w:val="00737297"/>
    <w:rsid w:val="007451A3"/>
    <w:rsid w:val="007505CE"/>
    <w:rsid w:val="00767E3D"/>
    <w:rsid w:val="0078100D"/>
    <w:rsid w:val="00782008"/>
    <w:rsid w:val="0079311B"/>
    <w:rsid w:val="007A3286"/>
    <w:rsid w:val="007B1805"/>
    <w:rsid w:val="007C4473"/>
    <w:rsid w:val="007E1CBB"/>
    <w:rsid w:val="007F5053"/>
    <w:rsid w:val="008341CB"/>
    <w:rsid w:val="00835C97"/>
    <w:rsid w:val="00842FCF"/>
    <w:rsid w:val="008431F0"/>
    <w:rsid w:val="008458E4"/>
    <w:rsid w:val="00852270"/>
    <w:rsid w:val="00852C6E"/>
    <w:rsid w:val="00865982"/>
    <w:rsid w:val="00881827"/>
    <w:rsid w:val="00892920"/>
    <w:rsid w:val="008A1FA2"/>
    <w:rsid w:val="008A718E"/>
    <w:rsid w:val="008B338D"/>
    <w:rsid w:val="008C06AF"/>
    <w:rsid w:val="008C1351"/>
    <w:rsid w:val="008D01EC"/>
    <w:rsid w:val="008D3254"/>
    <w:rsid w:val="008F445D"/>
    <w:rsid w:val="009016E7"/>
    <w:rsid w:val="00911EEF"/>
    <w:rsid w:val="00914BE5"/>
    <w:rsid w:val="0092142B"/>
    <w:rsid w:val="00921D4E"/>
    <w:rsid w:val="00932566"/>
    <w:rsid w:val="0094358C"/>
    <w:rsid w:val="009761B2"/>
    <w:rsid w:val="009902BA"/>
    <w:rsid w:val="00991892"/>
    <w:rsid w:val="00992C8B"/>
    <w:rsid w:val="009C0C25"/>
    <w:rsid w:val="009E66B4"/>
    <w:rsid w:val="009E7A01"/>
    <w:rsid w:val="00A07670"/>
    <w:rsid w:val="00A142CD"/>
    <w:rsid w:val="00A265B9"/>
    <w:rsid w:val="00A3775C"/>
    <w:rsid w:val="00A40EBF"/>
    <w:rsid w:val="00A443A6"/>
    <w:rsid w:val="00A56BB2"/>
    <w:rsid w:val="00A62743"/>
    <w:rsid w:val="00A628F3"/>
    <w:rsid w:val="00A67C25"/>
    <w:rsid w:val="00A73F2F"/>
    <w:rsid w:val="00A760C8"/>
    <w:rsid w:val="00A81533"/>
    <w:rsid w:val="00A84C0B"/>
    <w:rsid w:val="00A8605C"/>
    <w:rsid w:val="00AA0AF6"/>
    <w:rsid w:val="00AA7041"/>
    <w:rsid w:val="00AA7588"/>
    <w:rsid w:val="00AA78EA"/>
    <w:rsid w:val="00AB743C"/>
    <w:rsid w:val="00AD1F72"/>
    <w:rsid w:val="00AD78AD"/>
    <w:rsid w:val="00B00F4C"/>
    <w:rsid w:val="00B018A9"/>
    <w:rsid w:val="00B1555F"/>
    <w:rsid w:val="00B25E8B"/>
    <w:rsid w:val="00B3013B"/>
    <w:rsid w:val="00B3164A"/>
    <w:rsid w:val="00B454C8"/>
    <w:rsid w:val="00B4684A"/>
    <w:rsid w:val="00B5089C"/>
    <w:rsid w:val="00B53173"/>
    <w:rsid w:val="00B76570"/>
    <w:rsid w:val="00B81589"/>
    <w:rsid w:val="00B83365"/>
    <w:rsid w:val="00B84D57"/>
    <w:rsid w:val="00B90646"/>
    <w:rsid w:val="00B91125"/>
    <w:rsid w:val="00B941DA"/>
    <w:rsid w:val="00BA0A4F"/>
    <w:rsid w:val="00BA1B94"/>
    <w:rsid w:val="00BA4551"/>
    <w:rsid w:val="00BB2FC3"/>
    <w:rsid w:val="00BB725F"/>
    <w:rsid w:val="00BC1450"/>
    <w:rsid w:val="00BC3DD5"/>
    <w:rsid w:val="00BE0CB4"/>
    <w:rsid w:val="00BF571A"/>
    <w:rsid w:val="00C025AC"/>
    <w:rsid w:val="00C04F3D"/>
    <w:rsid w:val="00C1487D"/>
    <w:rsid w:val="00C23277"/>
    <w:rsid w:val="00C305B7"/>
    <w:rsid w:val="00C4509F"/>
    <w:rsid w:val="00C567A9"/>
    <w:rsid w:val="00C834E5"/>
    <w:rsid w:val="00CA05E1"/>
    <w:rsid w:val="00CA176E"/>
    <w:rsid w:val="00CA5300"/>
    <w:rsid w:val="00CB5F92"/>
    <w:rsid w:val="00CC5D0B"/>
    <w:rsid w:val="00CC61BB"/>
    <w:rsid w:val="00CF20C3"/>
    <w:rsid w:val="00D0174E"/>
    <w:rsid w:val="00D04886"/>
    <w:rsid w:val="00D3454A"/>
    <w:rsid w:val="00D70D7E"/>
    <w:rsid w:val="00D760B6"/>
    <w:rsid w:val="00D76755"/>
    <w:rsid w:val="00D90C6E"/>
    <w:rsid w:val="00D927FA"/>
    <w:rsid w:val="00D95E85"/>
    <w:rsid w:val="00D96676"/>
    <w:rsid w:val="00D972CB"/>
    <w:rsid w:val="00DA73BC"/>
    <w:rsid w:val="00DB152D"/>
    <w:rsid w:val="00DB4719"/>
    <w:rsid w:val="00DB52FE"/>
    <w:rsid w:val="00DB5CE5"/>
    <w:rsid w:val="00DB7256"/>
    <w:rsid w:val="00DC209E"/>
    <w:rsid w:val="00DD1E39"/>
    <w:rsid w:val="00DE0A03"/>
    <w:rsid w:val="00DE17D2"/>
    <w:rsid w:val="00DE4C1C"/>
    <w:rsid w:val="00DF28A5"/>
    <w:rsid w:val="00DF5358"/>
    <w:rsid w:val="00E0138E"/>
    <w:rsid w:val="00E01481"/>
    <w:rsid w:val="00E0226C"/>
    <w:rsid w:val="00E172ED"/>
    <w:rsid w:val="00E17464"/>
    <w:rsid w:val="00E23C43"/>
    <w:rsid w:val="00E242EA"/>
    <w:rsid w:val="00E36F1C"/>
    <w:rsid w:val="00E62185"/>
    <w:rsid w:val="00E6773A"/>
    <w:rsid w:val="00E7273A"/>
    <w:rsid w:val="00E74312"/>
    <w:rsid w:val="00E74E35"/>
    <w:rsid w:val="00E75515"/>
    <w:rsid w:val="00E84260"/>
    <w:rsid w:val="00E97940"/>
    <w:rsid w:val="00EA3A11"/>
    <w:rsid w:val="00EA67ED"/>
    <w:rsid w:val="00EC05CD"/>
    <w:rsid w:val="00EC5B70"/>
    <w:rsid w:val="00ED2098"/>
    <w:rsid w:val="00EE25C3"/>
    <w:rsid w:val="00EF1396"/>
    <w:rsid w:val="00EF4B69"/>
    <w:rsid w:val="00EF67D6"/>
    <w:rsid w:val="00F01AD1"/>
    <w:rsid w:val="00F04A02"/>
    <w:rsid w:val="00F33199"/>
    <w:rsid w:val="00F43C52"/>
    <w:rsid w:val="00F446D9"/>
    <w:rsid w:val="00F616F1"/>
    <w:rsid w:val="00F94BF9"/>
    <w:rsid w:val="00FD52A1"/>
    <w:rsid w:val="16AC776E"/>
    <w:rsid w:val="22991487"/>
    <w:rsid w:val="2DE34CBD"/>
    <w:rsid w:val="318323B9"/>
    <w:rsid w:val="328F5DAF"/>
    <w:rsid w:val="364701B3"/>
    <w:rsid w:val="373F4A34"/>
    <w:rsid w:val="4E6742DB"/>
    <w:rsid w:val="51DA25DF"/>
    <w:rsid w:val="560A68CD"/>
    <w:rsid w:val="5D2A6E07"/>
    <w:rsid w:val="671D3F9C"/>
    <w:rsid w:val="6F505F45"/>
    <w:rsid w:val="738301D0"/>
    <w:rsid w:val="7F9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4"/>
    <w:qFormat/>
    <w:uiPriority w:val="9"/>
    <w:pPr>
      <w:keepNext/>
      <w:keepLines/>
      <w:adjustRightInd w:val="0"/>
      <w:snapToGrid w:val="0"/>
      <w:spacing w:beforeLines="50" w:afterLines="50" w:line="360" w:lineRule="auto"/>
      <w:jc w:val="left"/>
      <w:outlineLvl w:val="1"/>
    </w:pPr>
    <w:rPr>
      <w:rFonts w:ascii="宋体" w:hAnsi="宋体" w:cs="Arial"/>
      <w:b/>
      <w:color w:val="000000"/>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annotation text"/>
    <w:basedOn w:val="1"/>
    <w:link w:val="17"/>
    <w:unhideWhenUsed/>
    <w:qFormat/>
    <w:uiPriority w:val="0"/>
    <w:pPr>
      <w:jc w:val="left"/>
    </w:pPr>
  </w:style>
  <w:style w:type="paragraph" w:styleId="5">
    <w:name w:val="Body Text"/>
    <w:basedOn w:val="1"/>
    <w:link w:val="19"/>
    <w:qFormat/>
    <w:uiPriority w:val="0"/>
    <w:pPr>
      <w:widowControl/>
      <w:spacing w:after="120"/>
      <w:jc w:val="left"/>
    </w:pPr>
    <w:rPr>
      <w:rFonts w:ascii="ˎ̥" w:hAnsi="ˎ̥"/>
      <w:color w:val="000000"/>
      <w:kern w:val="0"/>
      <w:sz w:val="24"/>
      <w:szCs w:val="20"/>
    </w:rPr>
  </w:style>
  <w:style w:type="paragraph" w:styleId="6">
    <w:name w:val="Body Text Indent"/>
    <w:basedOn w:val="1"/>
    <w:link w:val="20"/>
    <w:qFormat/>
    <w:uiPriority w:val="0"/>
    <w:pPr>
      <w:spacing w:after="120"/>
      <w:ind w:left="420" w:leftChars="200"/>
    </w:pPr>
    <w:rPr>
      <w:rFonts w:ascii="Times New Roman" w:hAnsi="Times New Roman"/>
      <w:kern w:val="0"/>
      <w:sz w:val="20"/>
    </w:rPr>
  </w:style>
  <w:style w:type="paragraph" w:styleId="7">
    <w:name w:val="Balloon Text"/>
    <w:basedOn w:val="1"/>
    <w:link w:val="21"/>
    <w:qFormat/>
    <w:uiPriority w:val="0"/>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18"/>
    <w:qFormat/>
    <w:uiPriority w:val="0"/>
    <w:rPr>
      <w:b/>
      <w:bCs/>
    </w:rPr>
  </w:style>
  <w:style w:type="character" w:styleId="13">
    <w:name w:val="annotation reference"/>
    <w:basedOn w:val="12"/>
    <w:qFormat/>
    <w:uiPriority w:val="0"/>
    <w:rPr>
      <w:sz w:val="21"/>
      <w:szCs w:val="21"/>
    </w:rPr>
  </w:style>
  <w:style w:type="character" w:customStyle="1" w:styleId="14">
    <w:name w:val="标题 2 字符"/>
    <w:basedOn w:val="12"/>
    <w:link w:val="2"/>
    <w:qFormat/>
    <w:uiPriority w:val="9"/>
    <w:rPr>
      <w:rFonts w:ascii="宋体" w:hAnsi="宋体" w:eastAsia="宋体" w:cs="Arial"/>
      <w:b/>
      <w:color w:val="000000"/>
      <w:sz w:val="28"/>
      <w:szCs w:val="28"/>
    </w:rPr>
  </w:style>
  <w:style w:type="character" w:customStyle="1" w:styleId="15">
    <w:name w:val="页眉 字符"/>
    <w:basedOn w:val="12"/>
    <w:link w:val="9"/>
    <w:qFormat/>
    <w:uiPriority w:val="0"/>
    <w:rPr>
      <w:sz w:val="18"/>
      <w:szCs w:val="18"/>
    </w:rPr>
  </w:style>
  <w:style w:type="character" w:customStyle="1" w:styleId="16">
    <w:name w:val="页脚 字符"/>
    <w:basedOn w:val="12"/>
    <w:link w:val="8"/>
    <w:qFormat/>
    <w:uiPriority w:val="99"/>
    <w:rPr>
      <w:sz w:val="18"/>
      <w:szCs w:val="18"/>
    </w:rPr>
  </w:style>
  <w:style w:type="character" w:customStyle="1" w:styleId="17">
    <w:name w:val="批注文字 字符"/>
    <w:basedOn w:val="12"/>
    <w:link w:val="4"/>
    <w:qFormat/>
    <w:uiPriority w:val="0"/>
    <w:rPr>
      <w:rFonts w:ascii="Calibri" w:hAnsi="Calibri" w:eastAsia="宋体" w:cs="Times New Roman"/>
      <w:szCs w:val="24"/>
    </w:rPr>
  </w:style>
  <w:style w:type="character" w:customStyle="1" w:styleId="18">
    <w:name w:val="批注主题 字符"/>
    <w:basedOn w:val="17"/>
    <w:link w:val="10"/>
    <w:qFormat/>
    <w:uiPriority w:val="0"/>
    <w:rPr>
      <w:rFonts w:ascii="Calibri" w:hAnsi="Calibri" w:eastAsia="宋体" w:cs="Times New Roman"/>
      <w:b/>
      <w:bCs/>
      <w:szCs w:val="24"/>
    </w:rPr>
  </w:style>
  <w:style w:type="character" w:customStyle="1" w:styleId="19">
    <w:name w:val="正文文本 字符"/>
    <w:basedOn w:val="12"/>
    <w:link w:val="5"/>
    <w:qFormat/>
    <w:uiPriority w:val="0"/>
    <w:rPr>
      <w:rFonts w:ascii="ˎ̥" w:hAnsi="ˎ̥" w:eastAsia="宋体" w:cs="Times New Roman"/>
      <w:color w:val="000000"/>
      <w:kern w:val="0"/>
      <w:sz w:val="24"/>
      <w:szCs w:val="20"/>
    </w:rPr>
  </w:style>
  <w:style w:type="character" w:customStyle="1" w:styleId="20">
    <w:name w:val="正文文本缩进 字符"/>
    <w:basedOn w:val="12"/>
    <w:link w:val="6"/>
    <w:qFormat/>
    <w:uiPriority w:val="0"/>
    <w:rPr>
      <w:rFonts w:ascii="Times New Roman" w:hAnsi="Times New Roman" w:eastAsia="宋体" w:cs="Times New Roman"/>
      <w:kern w:val="0"/>
      <w:sz w:val="20"/>
      <w:szCs w:val="24"/>
    </w:rPr>
  </w:style>
  <w:style w:type="character" w:customStyle="1" w:styleId="21">
    <w:name w:val="批注框文本 字符"/>
    <w:basedOn w:val="12"/>
    <w:link w:val="7"/>
    <w:qFormat/>
    <w:uiPriority w:val="0"/>
    <w:rPr>
      <w:rFonts w:ascii="Calibri" w:hAnsi="Calibri" w:eastAsia="宋体" w:cs="Times New Roman"/>
      <w:sz w:val="18"/>
      <w:szCs w:val="18"/>
    </w:rPr>
  </w:style>
  <w:style w:type="paragraph" w:customStyle="1" w:styleId="22">
    <w:name w:val="列出段落1"/>
    <w:basedOn w:val="1"/>
    <w:unhideWhenUsed/>
    <w:qFormat/>
    <w:uiPriority w:val="99"/>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_Style 5"/>
    <w:basedOn w:val="1"/>
    <w:qFormat/>
    <w:uiPriority w:val="0"/>
    <w:pPr>
      <w:ind w:firstLine="420" w:firstLineChars="200"/>
    </w:pPr>
  </w:style>
  <w:style w:type="paragraph" w:customStyle="1" w:styleId="25">
    <w:name w:val="正文-段落"/>
    <w:qFormat/>
    <w:uiPriority w:val="0"/>
    <w:pPr>
      <w:spacing w:line="360" w:lineRule="auto"/>
      <w:ind w:firstLine="200" w:firstLineChars="200"/>
    </w:pPr>
    <w:rPr>
      <w:rFonts w:ascii="Calibri" w:hAnsi="Calibri" w:eastAsia="宋体" w:cs="宋体"/>
      <w:kern w:val="0"/>
      <w:sz w:val="24"/>
      <w:szCs w:val="24"/>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15549</Words>
  <Characters>15977</Characters>
  <Lines>79</Lines>
  <Paragraphs>22</Paragraphs>
  <TotalTime>0</TotalTime>
  <ScaleCrop>false</ScaleCrop>
  <LinksUpToDate>false</LinksUpToDate>
  <CharactersWithSpaces>16200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2021-06-03T03:10:00Z</dcterms:created>
  <dc:creator>Windows User</dc:creator>
  <cp:lastModifiedBy>1</cp:lastModifiedBy>
  <cp:lastPrinted>2021-06-02T03:37:00Z</cp:lastPrinted>
  <dcterms:modified xsi:type="dcterms:W3CDTF">2024-11-18T00:46:54Z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242FFF1307224C00B694AE067480105C_13</vt:lpwstr>
  </property>
</Properties>
</file>