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6CE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both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附件3</w:t>
      </w:r>
    </w:p>
    <w:p w14:paraId="0CAA7A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公司基本信息表</w:t>
      </w:r>
    </w:p>
    <w:tbl>
      <w:tblPr>
        <w:tblStyle w:val="3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1010"/>
        <w:gridCol w:w="1549"/>
        <w:gridCol w:w="471"/>
        <w:gridCol w:w="1117"/>
        <w:gridCol w:w="903"/>
        <w:gridCol w:w="395"/>
        <w:gridCol w:w="1637"/>
      </w:tblGrid>
      <w:tr w14:paraId="626C9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6EF8B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  <w:t>单位名称</w:t>
            </w:r>
          </w:p>
        </w:tc>
        <w:tc>
          <w:tcPr>
            <w:tcW w:w="417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194CF4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AC5F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5FF5F2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  <w:t>地址</w:t>
            </w:r>
          </w:p>
        </w:tc>
        <w:tc>
          <w:tcPr>
            <w:tcW w:w="417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2EAAE5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BC56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151FF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  <w:t>主管部门</w:t>
            </w:r>
          </w:p>
        </w:tc>
        <w:tc>
          <w:tcPr>
            <w:tcW w:w="17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7773C8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29B27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  <w:t>法人代表</w:t>
            </w:r>
          </w:p>
        </w:tc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3C6C33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C975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4" w:hRule="exact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04C5C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  <w:t>单位简介</w:t>
            </w:r>
          </w:p>
        </w:tc>
        <w:tc>
          <w:tcPr>
            <w:tcW w:w="417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107657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F438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exact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69FAD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  <w:t>单位优势及特长</w:t>
            </w:r>
          </w:p>
        </w:tc>
        <w:tc>
          <w:tcPr>
            <w:tcW w:w="417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6211AC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D900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29151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  <w:t>单位概况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5BC55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注册</w:t>
            </w:r>
          </w:p>
          <w:p w14:paraId="32979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资本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472CA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万元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21456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占地面积</w:t>
            </w:r>
          </w:p>
        </w:tc>
        <w:tc>
          <w:tcPr>
            <w:tcW w:w="1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461319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㎡</w:t>
            </w:r>
          </w:p>
        </w:tc>
      </w:tr>
      <w:tr w14:paraId="0D3CE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53D3F429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597D0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职工</w:t>
            </w:r>
          </w:p>
          <w:p w14:paraId="2616C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总数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7208E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42424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人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2EDDB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建筑面积</w:t>
            </w:r>
          </w:p>
        </w:tc>
        <w:tc>
          <w:tcPr>
            <w:tcW w:w="1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3AA0F3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㎡</w:t>
            </w:r>
          </w:p>
        </w:tc>
      </w:tr>
      <w:tr w14:paraId="467D3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4C396B36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6710FA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资产</w:t>
            </w:r>
          </w:p>
          <w:p w14:paraId="6E7B5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情况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6BB13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净资产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35796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万元</w:t>
            </w: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7CF0C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固定资产</w:t>
            </w:r>
          </w:p>
          <w:p w14:paraId="639ED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原值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174F4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万元</w:t>
            </w:r>
          </w:p>
        </w:tc>
      </w:tr>
      <w:tr w14:paraId="7877E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4F5202B2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1F18CD8E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5F7FE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负债</w:t>
            </w: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335C7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万元</w:t>
            </w:r>
          </w:p>
        </w:tc>
        <w:tc>
          <w:tcPr>
            <w:tcW w:w="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049E7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固定资产</w:t>
            </w:r>
          </w:p>
          <w:p w14:paraId="68711D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净值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63384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42424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  <w:t>万元</w:t>
            </w:r>
          </w:p>
        </w:tc>
      </w:tr>
      <w:tr w14:paraId="7E8AE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65DE8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  <w:t>联系人</w:t>
            </w:r>
          </w:p>
        </w:tc>
        <w:tc>
          <w:tcPr>
            <w:tcW w:w="15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333AA3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0B681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424242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424242"/>
                <w:sz w:val="24"/>
                <w:szCs w:val="24"/>
              </w:rPr>
              <w:t>联系电话</w:t>
            </w:r>
          </w:p>
        </w:tc>
        <w:tc>
          <w:tcPr>
            <w:tcW w:w="17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 w14:paraId="7DBE1F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213BE7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both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31042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YmJlN2QyZTAxN2I2OWNhNTQ4MWRlYmM2YmU1YzEifQ=="/>
  </w:docVars>
  <w:rsids>
    <w:rsidRoot w:val="0DDA78F8"/>
    <w:rsid w:val="0DDA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2024-11-09T05:32:00Z</dcterms:created>
  <dc:creator>般若波罗蜜</dc:creator>
  <cp:lastModifiedBy>般若波罗蜜</cp:lastModifiedBy>
  <dcterms:modified xsi:type="dcterms:W3CDTF">2024-11-09T05:32:39Z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5FEE41472B0441A6BBC30CB19766F379_11</vt:lpwstr>
  </property>
</Properties>
</file>