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1BFBF">
      <w:pPr>
        <w:pStyle w:val="25"/>
        <w:numPr>
          <w:ilvl w:val="-1"/>
          <w:numId w:val="0"/>
        </w:numPr>
        <w:shd w:val="clear" w:color="auto" w:fill="auto"/>
        <w:ind w:left="420"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sz w:val="28"/>
          <w:szCs w:val="28"/>
          <w:highlight w:val="none"/>
          <w:lang w:val="en-US" w:eastAsia="zh-CN"/>
        </w:rPr>
        <w:t>中山市中</w:t>
      </w:r>
      <w:r>
        <w:rPr>
          <w:rFonts w:hint="eastAsia" w:ascii="宋体" w:hAnsi="宋体" w:eastAsia="宋体" w:cs="宋体"/>
          <w:b/>
          <w:bCs w:val="0"/>
          <w:color w:val="auto"/>
          <w:kern w:val="2"/>
          <w:sz w:val="28"/>
          <w:szCs w:val="28"/>
          <w:highlight w:val="none"/>
          <w:lang w:val="en-US" w:eastAsia="zh-CN" w:bidi="ar-SA"/>
        </w:rPr>
        <w:t>医院</w:t>
      </w:r>
      <w:r>
        <w:rPr>
          <w:rFonts w:hint="eastAsia" w:ascii="宋体" w:hAnsi="宋体" w:cs="宋体"/>
          <w:b/>
          <w:bCs w:val="0"/>
          <w:color w:val="auto"/>
          <w:kern w:val="2"/>
          <w:sz w:val="28"/>
          <w:szCs w:val="28"/>
          <w:highlight w:val="none"/>
          <w:lang w:val="en-US" w:eastAsia="zh-CN" w:bidi="ar-SA"/>
        </w:rPr>
        <w:t>综合楼</w:t>
      </w:r>
      <w:r>
        <w:rPr>
          <w:rFonts w:hint="eastAsia" w:ascii="宋体" w:hAnsi="宋体" w:eastAsia="宋体" w:cs="宋体"/>
          <w:b/>
          <w:bCs w:val="0"/>
          <w:color w:val="auto"/>
          <w:kern w:val="2"/>
          <w:sz w:val="28"/>
          <w:szCs w:val="28"/>
          <w:highlight w:val="none"/>
          <w:lang w:val="en-US" w:eastAsia="zh-CN" w:bidi="ar-SA"/>
        </w:rPr>
        <w:t>核技术利用项目</w:t>
      </w:r>
    </w:p>
    <w:p w14:paraId="7F5FEC35">
      <w:pPr>
        <w:pStyle w:val="25"/>
        <w:numPr>
          <w:ilvl w:val="-1"/>
          <w:numId w:val="0"/>
        </w:numPr>
        <w:shd w:val="clear" w:color="auto" w:fill="auto"/>
        <w:ind w:left="420" w:firstLine="0" w:firstLineChars="0"/>
        <w:jc w:val="center"/>
        <w:rPr>
          <w:rFonts w:ascii="宋体" w:hAnsi="宋体" w:cs="宋体"/>
          <w:b/>
          <w:color w:val="auto"/>
          <w:sz w:val="24"/>
          <w:szCs w:val="24"/>
          <w:highlight w:val="none"/>
        </w:rPr>
      </w:pPr>
      <w:r>
        <w:rPr>
          <w:rFonts w:hint="eastAsia" w:ascii="宋体" w:hAnsi="宋体" w:eastAsia="宋体" w:cs="宋体"/>
          <w:b/>
          <w:bCs w:val="0"/>
          <w:color w:val="auto"/>
          <w:kern w:val="2"/>
          <w:sz w:val="28"/>
          <w:szCs w:val="28"/>
          <w:highlight w:val="none"/>
          <w:lang w:val="en-US" w:eastAsia="zh-CN" w:bidi="ar-SA"/>
        </w:rPr>
        <w:t>环境影响评价及竣工环境保护验收</w:t>
      </w:r>
      <w:r>
        <w:rPr>
          <w:rFonts w:hint="eastAsia" w:ascii="宋体" w:hAnsi="宋体" w:cs="宋体"/>
          <w:b/>
          <w:bCs w:val="0"/>
          <w:color w:val="auto"/>
          <w:sz w:val="28"/>
          <w:szCs w:val="28"/>
          <w:highlight w:val="none"/>
          <w:lang w:val="en-US" w:eastAsia="zh-CN"/>
        </w:rPr>
        <w:t>技术服务</w:t>
      </w:r>
    </w:p>
    <w:p w14:paraId="77E1CA19">
      <w:pPr>
        <w:tabs>
          <w:tab w:val="right" w:pos="9524"/>
        </w:tabs>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14:paraId="21CB9556">
      <w:pPr>
        <w:pStyle w:val="25"/>
        <w:numPr>
          <w:ilvl w:val="-1"/>
          <w:numId w:val="0"/>
        </w:numPr>
        <w:shd w:val="clear" w:color="auto" w:fill="auto"/>
        <w:ind w:left="420" w:firstLine="0" w:firstLineChars="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（一）项目名称：</w:t>
      </w:r>
      <w:r>
        <w:rPr>
          <w:rFonts w:hint="eastAsia" w:ascii="宋体" w:hAnsi="宋体" w:cs="宋体"/>
          <w:bCs/>
          <w:color w:val="auto"/>
          <w:sz w:val="24"/>
          <w:szCs w:val="24"/>
          <w:highlight w:val="none"/>
          <w:lang w:val="en-US" w:eastAsia="zh-CN"/>
        </w:rPr>
        <w:t>中山市中</w:t>
      </w:r>
      <w:r>
        <w:rPr>
          <w:rFonts w:hint="eastAsia" w:ascii="宋体" w:hAnsi="宋体" w:eastAsia="宋体" w:cs="宋体"/>
          <w:bCs/>
          <w:color w:val="auto"/>
          <w:kern w:val="2"/>
          <w:sz w:val="24"/>
          <w:szCs w:val="24"/>
          <w:highlight w:val="none"/>
          <w:lang w:val="en-US" w:eastAsia="zh-CN" w:bidi="ar-SA"/>
        </w:rPr>
        <w:t>医院</w:t>
      </w:r>
      <w:r>
        <w:rPr>
          <w:rFonts w:hint="eastAsia" w:ascii="宋体" w:hAnsi="宋体" w:cs="宋体"/>
          <w:bCs/>
          <w:color w:val="auto"/>
          <w:kern w:val="2"/>
          <w:sz w:val="24"/>
          <w:szCs w:val="24"/>
          <w:highlight w:val="none"/>
          <w:lang w:val="en-US" w:eastAsia="zh-CN" w:bidi="ar-SA"/>
        </w:rPr>
        <w:t>综合楼</w:t>
      </w:r>
      <w:r>
        <w:rPr>
          <w:rFonts w:hint="eastAsia" w:ascii="宋体" w:hAnsi="宋体" w:eastAsia="宋体" w:cs="宋体"/>
          <w:bCs/>
          <w:color w:val="auto"/>
          <w:kern w:val="2"/>
          <w:sz w:val="24"/>
          <w:szCs w:val="24"/>
          <w:highlight w:val="none"/>
          <w:lang w:val="en-US" w:eastAsia="zh-CN" w:bidi="ar-SA"/>
        </w:rPr>
        <w:t>核技术利用项目环境影响评价及竣工环境保护验收</w:t>
      </w:r>
      <w:r>
        <w:rPr>
          <w:rFonts w:hint="eastAsia" w:ascii="宋体" w:hAnsi="宋体" w:cs="宋体"/>
          <w:bCs/>
          <w:color w:val="auto"/>
          <w:sz w:val="24"/>
          <w:szCs w:val="24"/>
          <w:highlight w:val="none"/>
          <w:lang w:val="en-US" w:eastAsia="zh-CN"/>
        </w:rPr>
        <w:t>技术服务</w:t>
      </w:r>
    </w:p>
    <w:p w14:paraId="03EE176A">
      <w:pPr>
        <w:tabs>
          <w:tab w:val="right" w:pos="9524"/>
        </w:tabs>
        <w:ind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（二）项目预算：人民币</w:t>
      </w:r>
      <w:r>
        <w:rPr>
          <w:rFonts w:hint="eastAsia" w:ascii="宋体" w:hAnsi="宋体" w:cs="宋体"/>
          <w:bCs/>
          <w:color w:val="auto"/>
          <w:sz w:val="24"/>
          <w:szCs w:val="24"/>
          <w:highlight w:val="none"/>
          <w:lang w:val="en-US" w:eastAsia="zh-CN"/>
        </w:rPr>
        <w:t>9.8</w:t>
      </w:r>
      <w:bookmarkStart w:id="0" w:name="_GoBack"/>
      <w:bookmarkEnd w:id="0"/>
      <w:r>
        <w:rPr>
          <w:rFonts w:hint="eastAsia" w:ascii="宋体" w:hAnsi="宋体" w:cs="宋体"/>
          <w:bCs/>
          <w:color w:val="auto"/>
          <w:sz w:val="24"/>
          <w:szCs w:val="24"/>
          <w:highlight w:val="none"/>
        </w:rPr>
        <w:t>万元</w:t>
      </w:r>
      <w:r>
        <w:rPr>
          <w:rFonts w:hint="eastAsia" w:ascii="宋体" w:hAnsi="宋体" w:cs="宋体"/>
          <w:bCs/>
          <w:color w:val="auto"/>
          <w:sz w:val="24"/>
          <w:szCs w:val="24"/>
          <w:highlight w:val="none"/>
          <w:lang w:eastAsia="zh-CN"/>
        </w:rPr>
        <w:t>。</w:t>
      </w:r>
    </w:p>
    <w:p w14:paraId="7D7294E4">
      <w:pPr>
        <w:tabs>
          <w:tab w:val="right" w:pos="9524"/>
        </w:tabs>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二、项目清单</w:t>
      </w:r>
    </w:p>
    <w:tbl>
      <w:tblPr>
        <w:tblStyle w:val="10"/>
        <w:tblW w:w="8684" w:type="dxa"/>
        <w:jc w:val="center"/>
        <w:tblLayout w:type="fixed"/>
        <w:tblCellMar>
          <w:top w:w="0" w:type="dxa"/>
          <w:left w:w="108" w:type="dxa"/>
          <w:bottom w:w="0" w:type="dxa"/>
          <w:right w:w="108" w:type="dxa"/>
        </w:tblCellMar>
      </w:tblPr>
      <w:tblGrid>
        <w:gridCol w:w="924"/>
        <w:gridCol w:w="2201"/>
        <w:gridCol w:w="955"/>
        <w:gridCol w:w="2314"/>
        <w:gridCol w:w="2290"/>
      </w:tblGrid>
      <w:tr w14:paraId="7CFE4B31">
        <w:tblPrEx>
          <w:tblCellMar>
            <w:top w:w="0" w:type="dxa"/>
            <w:left w:w="108" w:type="dxa"/>
            <w:bottom w:w="0" w:type="dxa"/>
            <w:right w:w="108" w:type="dxa"/>
          </w:tblCellMar>
        </w:tblPrEx>
        <w:trPr>
          <w:trHeight w:val="765"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2535B466">
            <w:pPr>
              <w:widowControl/>
              <w:jc w:val="center"/>
              <w:rPr>
                <w:rFonts w:hint="eastAsia"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rPr>
              <w:t>序号</w:t>
            </w:r>
          </w:p>
        </w:tc>
        <w:tc>
          <w:tcPr>
            <w:tcW w:w="2201" w:type="dxa"/>
            <w:tcBorders>
              <w:top w:val="single" w:color="auto" w:sz="4" w:space="0"/>
              <w:left w:val="nil"/>
              <w:bottom w:val="single" w:color="auto" w:sz="4" w:space="0"/>
              <w:right w:val="single" w:color="auto" w:sz="4" w:space="0"/>
            </w:tcBorders>
            <w:vAlign w:val="center"/>
          </w:tcPr>
          <w:p w14:paraId="1A69BC91">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设备清单</w:t>
            </w:r>
          </w:p>
        </w:tc>
        <w:tc>
          <w:tcPr>
            <w:tcW w:w="955" w:type="dxa"/>
            <w:tcBorders>
              <w:top w:val="single" w:color="auto" w:sz="4" w:space="0"/>
              <w:left w:val="nil"/>
              <w:bottom w:val="single" w:color="auto" w:sz="4" w:space="0"/>
              <w:right w:val="single" w:color="auto" w:sz="4" w:space="0"/>
            </w:tcBorders>
            <w:vAlign w:val="center"/>
          </w:tcPr>
          <w:p w14:paraId="7CD7BAAF">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科室</w:t>
            </w:r>
          </w:p>
        </w:tc>
        <w:tc>
          <w:tcPr>
            <w:tcW w:w="2314" w:type="dxa"/>
            <w:tcBorders>
              <w:top w:val="single" w:color="auto" w:sz="4" w:space="0"/>
              <w:left w:val="nil"/>
              <w:bottom w:val="single" w:color="auto" w:sz="4" w:space="0"/>
              <w:right w:val="single" w:color="auto" w:sz="4" w:space="0"/>
            </w:tcBorders>
            <w:vAlign w:val="center"/>
          </w:tcPr>
          <w:p w14:paraId="3030571D">
            <w:pPr>
              <w:widowControl/>
              <w:jc w:val="center"/>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环评（编制报告表或备案）设备数量</w:t>
            </w:r>
          </w:p>
        </w:tc>
        <w:tc>
          <w:tcPr>
            <w:tcW w:w="2290" w:type="dxa"/>
            <w:tcBorders>
              <w:top w:val="single" w:color="auto" w:sz="4" w:space="0"/>
              <w:left w:val="nil"/>
              <w:bottom w:val="single" w:color="auto" w:sz="4" w:space="0"/>
              <w:right w:val="single" w:color="auto" w:sz="4" w:space="0"/>
            </w:tcBorders>
            <w:vAlign w:val="center"/>
          </w:tcPr>
          <w:p w14:paraId="708EBDC0">
            <w:pPr>
              <w:widowControl/>
              <w:jc w:val="center"/>
              <w:rPr>
                <w:rFonts w:hint="eastAsia" w:ascii="仿宋_GB2312" w:hAnsi="宋体" w:eastAsia="仿宋_GB2312" w:cs="宋体"/>
                <w:b/>
                <w:bCs/>
                <w:color w:val="auto"/>
                <w:kern w:val="0"/>
                <w:sz w:val="24"/>
                <w:szCs w:val="24"/>
                <w:highlight w:val="none"/>
              </w:rPr>
            </w:pPr>
            <w:r>
              <w:rPr>
                <w:rFonts w:hint="eastAsia" w:ascii="仿宋_GB2312" w:hAnsi="宋体" w:eastAsia="仿宋_GB2312" w:cs="宋体"/>
                <w:b/>
                <w:bCs/>
                <w:color w:val="auto"/>
                <w:kern w:val="0"/>
                <w:sz w:val="24"/>
                <w:szCs w:val="24"/>
                <w:highlight w:val="none"/>
                <w:lang w:val="en-US" w:eastAsia="zh-CN"/>
              </w:rPr>
              <w:t>竣工环境保护验收设备数量</w:t>
            </w:r>
          </w:p>
        </w:tc>
      </w:tr>
      <w:tr w14:paraId="72D4D1A0">
        <w:tblPrEx>
          <w:tblCellMar>
            <w:top w:w="0" w:type="dxa"/>
            <w:left w:w="108" w:type="dxa"/>
            <w:bottom w:w="0" w:type="dxa"/>
            <w:right w:w="108" w:type="dxa"/>
          </w:tblCellMar>
        </w:tblPrEx>
        <w:trPr>
          <w:trHeight w:val="270" w:hRule="atLeast"/>
          <w:jc w:val="center"/>
        </w:trPr>
        <w:tc>
          <w:tcPr>
            <w:tcW w:w="924" w:type="dxa"/>
            <w:tcBorders>
              <w:top w:val="nil"/>
              <w:left w:val="single" w:color="auto" w:sz="4" w:space="0"/>
              <w:bottom w:val="single" w:color="auto" w:sz="4" w:space="0"/>
              <w:right w:val="single" w:color="auto" w:sz="4" w:space="0"/>
            </w:tcBorders>
            <w:vAlign w:val="center"/>
          </w:tcPr>
          <w:p w14:paraId="4E4DB2B9">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rPr>
              <w:t>1</w:t>
            </w:r>
          </w:p>
        </w:tc>
        <w:tc>
          <w:tcPr>
            <w:tcW w:w="2201" w:type="dxa"/>
            <w:tcBorders>
              <w:top w:val="nil"/>
              <w:left w:val="nil"/>
              <w:bottom w:val="single" w:color="auto" w:sz="4" w:space="0"/>
              <w:right w:val="single" w:color="auto" w:sz="4" w:space="0"/>
            </w:tcBorders>
            <w:vAlign w:val="center"/>
          </w:tcPr>
          <w:p w14:paraId="4C9DD4BB">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rPr>
              <w:t>DR</w:t>
            </w:r>
          </w:p>
        </w:tc>
        <w:tc>
          <w:tcPr>
            <w:tcW w:w="955" w:type="dxa"/>
            <w:vMerge w:val="restart"/>
            <w:tcBorders>
              <w:top w:val="single" w:color="auto" w:sz="4" w:space="0"/>
              <w:left w:val="single" w:color="auto" w:sz="4" w:space="0"/>
              <w:right w:val="single" w:color="auto" w:sz="4" w:space="0"/>
            </w:tcBorders>
            <w:vAlign w:val="center"/>
          </w:tcPr>
          <w:p w14:paraId="52EEBE27">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r>
              <w:rPr>
                <w:rFonts w:hint="eastAsia" w:eastAsia="宋体"/>
                <w:color w:val="auto"/>
                <w:highlight w:val="none"/>
              </w:rPr>
              <w:t>X光室</w:t>
            </w:r>
          </w:p>
        </w:tc>
        <w:tc>
          <w:tcPr>
            <w:tcW w:w="2314" w:type="dxa"/>
            <w:tcBorders>
              <w:top w:val="nil"/>
              <w:left w:val="nil"/>
              <w:bottom w:val="single" w:color="auto" w:sz="4" w:space="0"/>
              <w:right w:val="single" w:color="auto" w:sz="4" w:space="0"/>
            </w:tcBorders>
            <w:vAlign w:val="center"/>
          </w:tcPr>
          <w:p w14:paraId="341874EA">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3</w:t>
            </w:r>
            <w:r>
              <w:rPr>
                <w:rFonts w:hint="eastAsia" w:eastAsia="宋体" w:cs="Times New Roman"/>
                <w:color w:val="auto"/>
                <w:kern w:val="2"/>
                <w:highlight w:val="none"/>
                <w:lang w:val="en-US" w:eastAsia="zh-CN"/>
              </w:rPr>
              <w:t>台</w:t>
            </w:r>
          </w:p>
        </w:tc>
        <w:tc>
          <w:tcPr>
            <w:tcW w:w="2290" w:type="dxa"/>
            <w:tcBorders>
              <w:top w:val="nil"/>
              <w:left w:val="nil"/>
              <w:bottom w:val="single" w:color="auto" w:sz="4" w:space="0"/>
              <w:right w:val="single" w:color="auto" w:sz="4" w:space="0"/>
            </w:tcBorders>
            <w:vAlign w:val="center"/>
          </w:tcPr>
          <w:p w14:paraId="21DC5A69">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w:t>
            </w:r>
          </w:p>
        </w:tc>
      </w:tr>
      <w:tr w14:paraId="06D6EEE0">
        <w:tblPrEx>
          <w:tblCellMar>
            <w:top w:w="0" w:type="dxa"/>
            <w:left w:w="108" w:type="dxa"/>
            <w:bottom w:w="0" w:type="dxa"/>
            <w:right w:w="108" w:type="dxa"/>
          </w:tblCellMar>
        </w:tblPrEx>
        <w:trPr>
          <w:trHeight w:val="270" w:hRule="atLeast"/>
          <w:jc w:val="center"/>
        </w:trPr>
        <w:tc>
          <w:tcPr>
            <w:tcW w:w="924" w:type="dxa"/>
            <w:tcBorders>
              <w:top w:val="nil"/>
              <w:left w:val="single" w:color="auto" w:sz="4" w:space="0"/>
              <w:bottom w:val="single" w:color="auto" w:sz="4" w:space="0"/>
              <w:right w:val="single" w:color="auto" w:sz="4" w:space="0"/>
            </w:tcBorders>
            <w:vAlign w:val="center"/>
          </w:tcPr>
          <w:p w14:paraId="5AC02CAB">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rPr>
              <w:t>2</w:t>
            </w:r>
          </w:p>
        </w:tc>
        <w:tc>
          <w:tcPr>
            <w:tcW w:w="2201" w:type="dxa"/>
            <w:tcBorders>
              <w:top w:val="nil"/>
              <w:left w:val="nil"/>
              <w:bottom w:val="single" w:color="auto" w:sz="4" w:space="0"/>
              <w:right w:val="single" w:color="auto" w:sz="4" w:space="0"/>
            </w:tcBorders>
            <w:vAlign w:val="center"/>
          </w:tcPr>
          <w:p w14:paraId="520B6FB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rPr>
              <w:t>胃肠机</w:t>
            </w:r>
          </w:p>
        </w:tc>
        <w:tc>
          <w:tcPr>
            <w:tcW w:w="955" w:type="dxa"/>
            <w:vMerge w:val="continue"/>
            <w:tcBorders>
              <w:left w:val="single" w:color="auto" w:sz="4" w:space="0"/>
              <w:right w:val="single" w:color="auto" w:sz="4" w:space="0"/>
            </w:tcBorders>
            <w:vAlign w:val="center"/>
          </w:tcPr>
          <w:p w14:paraId="555E1600">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p>
        </w:tc>
        <w:tc>
          <w:tcPr>
            <w:tcW w:w="2314" w:type="dxa"/>
            <w:tcBorders>
              <w:top w:val="nil"/>
              <w:left w:val="nil"/>
              <w:bottom w:val="single" w:color="auto" w:sz="4" w:space="0"/>
              <w:right w:val="single" w:color="auto" w:sz="4" w:space="0"/>
            </w:tcBorders>
            <w:vAlign w:val="center"/>
          </w:tcPr>
          <w:p w14:paraId="49AB8A14">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1</w:t>
            </w:r>
            <w:r>
              <w:rPr>
                <w:rFonts w:hint="eastAsia" w:eastAsia="宋体" w:cs="Times New Roman"/>
                <w:color w:val="auto"/>
                <w:kern w:val="2"/>
                <w:highlight w:val="none"/>
                <w:lang w:val="en-US" w:eastAsia="zh-CN"/>
              </w:rPr>
              <w:t>台</w:t>
            </w:r>
          </w:p>
        </w:tc>
        <w:tc>
          <w:tcPr>
            <w:tcW w:w="2290" w:type="dxa"/>
            <w:tcBorders>
              <w:top w:val="nil"/>
              <w:left w:val="nil"/>
              <w:bottom w:val="single" w:color="auto" w:sz="4" w:space="0"/>
              <w:right w:val="single" w:color="auto" w:sz="4" w:space="0"/>
            </w:tcBorders>
            <w:vAlign w:val="center"/>
          </w:tcPr>
          <w:p w14:paraId="40DC101F">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w:t>
            </w:r>
          </w:p>
        </w:tc>
      </w:tr>
      <w:tr w14:paraId="2BEAE4EF">
        <w:tblPrEx>
          <w:tblCellMar>
            <w:top w:w="0" w:type="dxa"/>
            <w:left w:w="108" w:type="dxa"/>
            <w:bottom w:w="0" w:type="dxa"/>
            <w:right w:w="108" w:type="dxa"/>
          </w:tblCellMar>
        </w:tblPrEx>
        <w:trPr>
          <w:trHeight w:val="270" w:hRule="atLeast"/>
          <w:jc w:val="center"/>
        </w:trPr>
        <w:tc>
          <w:tcPr>
            <w:tcW w:w="924" w:type="dxa"/>
            <w:tcBorders>
              <w:top w:val="nil"/>
              <w:left w:val="single" w:color="auto" w:sz="4" w:space="0"/>
              <w:bottom w:val="single" w:color="auto" w:sz="4" w:space="0"/>
              <w:right w:val="single" w:color="auto" w:sz="4" w:space="0"/>
            </w:tcBorders>
            <w:vAlign w:val="center"/>
          </w:tcPr>
          <w:p w14:paraId="4FD60510">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rPr>
              <w:t>3</w:t>
            </w:r>
          </w:p>
        </w:tc>
        <w:tc>
          <w:tcPr>
            <w:tcW w:w="2201" w:type="dxa"/>
            <w:tcBorders>
              <w:top w:val="nil"/>
              <w:left w:val="nil"/>
              <w:bottom w:val="single" w:color="auto" w:sz="4" w:space="0"/>
              <w:right w:val="single" w:color="auto" w:sz="4" w:space="0"/>
            </w:tcBorders>
            <w:vAlign w:val="center"/>
          </w:tcPr>
          <w:p w14:paraId="3F7F461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rPr>
              <w:t>乳腺机</w:t>
            </w:r>
          </w:p>
        </w:tc>
        <w:tc>
          <w:tcPr>
            <w:tcW w:w="955" w:type="dxa"/>
            <w:vMerge w:val="continue"/>
            <w:tcBorders>
              <w:left w:val="single" w:color="auto" w:sz="4" w:space="0"/>
              <w:right w:val="single" w:color="auto" w:sz="4" w:space="0"/>
            </w:tcBorders>
            <w:vAlign w:val="center"/>
          </w:tcPr>
          <w:p w14:paraId="161ADF6C">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p>
        </w:tc>
        <w:tc>
          <w:tcPr>
            <w:tcW w:w="2314" w:type="dxa"/>
            <w:tcBorders>
              <w:top w:val="nil"/>
              <w:left w:val="nil"/>
              <w:bottom w:val="single" w:color="auto" w:sz="4" w:space="0"/>
              <w:right w:val="single" w:color="auto" w:sz="4" w:space="0"/>
            </w:tcBorders>
            <w:vAlign w:val="center"/>
          </w:tcPr>
          <w:p w14:paraId="23534393">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highlight w:val="none"/>
                <w:lang w:val="en-US" w:eastAsia="zh-CN"/>
              </w:rPr>
              <w:t>台</w:t>
            </w:r>
          </w:p>
        </w:tc>
        <w:tc>
          <w:tcPr>
            <w:tcW w:w="2290" w:type="dxa"/>
            <w:tcBorders>
              <w:top w:val="nil"/>
              <w:left w:val="nil"/>
              <w:bottom w:val="single" w:color="auto" w:sz="4" w:space="0"/>
              <w:right w:val="single" w:color="auto" w:sz="4" w:space="0"/>
            </w:tcBorders>
            <w:vAlign w:val="center"/>
          </w:tcPr>
          <w:p w14:paraId="26CC7A41">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w:t>
            </w:r>
          </w:p>
        </w:tc>
      </w:tr>
      <w:tr w14:paraId="2F52978D">
        <w:tblPrEx>
          <w:tblCellMar>
            <w:top w:w="0" w:type="dxa"/>
            <w:left w:w="108" w:type="dxa"/>
            <w:bottom w:w="0" w:type="dxa"/>
            <w:right w:w="108" w:type="dxa"/>
          </w:tblCellMar>
        </w:tblPrEx>
        <w:trPr>
          <w:trHeight w:val="270" w:hRule="atLeast"/>
          <w:jc w:val="center"/>
        </w:trPr>
        <w:tc>
          <w:tcPr>
            <w:tcW w:w="924" w:type="dxa"/>
            <w:tcBorders>
              <w:top w:val="nil"/>
              <w:left w:val="single" w:color="auto" w:sz="4" w:space="0"/>
              <w:bottom w:val="single" w:color="auto" w:sz="4" w:space="0"/>
              <w:right w:val="single" w:color="auto" w:sz="4" w:space="0"/>
            </w:tcBorders>
            <w:vAlign w:val="center"/>
          </w:tcPr>
          <w:p w14:paraId="6F36ACA5">
            <w:pPr>
              <w:widowControl/>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rPr>
              <w:t>4</w:t>
            </w:r>
          </w:p>
        </w:tc>
        <w:tc>
          <w:tcPr>
            <w:tcW w:w="2201" w:type="dxa"/>
            <w:tcBorders>
              <w:top w:val="nil"/>
              <w:left w:val="nil"/>
              <w:bottom w:val="single" w:color="auto" w:sz="4" w:space="0"/>
              <w:right w:val="single" w:color="auto" w:sz="4" w:space="0"/>
            </w:tcBorders>
            <w:vAlign w:val="center"/>
          </w:tcPr>
          <w:p w14:paraId="60EACD90">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CT</w:t>
            </w:r>
          </w:p>
        </w:tc>
        <w:tc>
          <w:tcPr>
            <w:tcW w:w="955" w:type="dxa"/>
            <w:tcBorders>
              <w:top w:val="single" w:color="auto" w:sz="4" w:space="0"/>
              <w:left w:val="single" w:color="auto" w:sz="4" w:space="0"/>
              <w:right w:val="single" w:color="auto" w:sz="4" w:space="0"/>
            </w:tcBorders>
            <w:vAlign w:val="center"/>
          </w:tcPr>
          <w:p w14:paraId="4A39441E">
            <w:pPr>
              <w:widowControl/>
              <w:jc w:val="center"/>
              <w:textAlignment w:val="center"/>
              <w:rPr>
                <w:rFonts w:hint="eastAsia" w:ascii="Times New Roman" w:hAnsi="Times New Roman" w:eastAsia="宋体" w:cs="Times New Roman"/>
                <w:b w:val="0"/>
                <w:bCs w:val="0"/>
                <w:color w:val="auto"/>
                <w:kern w:val="2"/>
                <w:sz w:val="21"/>
                <w:szCs w:val="24"/>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rPr>
              <w:t xml:space="preserve"> CT室</w:t>
            </w:r>
          </w:p>
        </w:tc>
        <w:tc>
          <w:tcPr>
            <w:tcW w:w="2314" w:type="dxa"/>
            <w:tcBorders>
              <w:top w:val="nil"/>
              <w:left w:val="nil"/>
              <w:bottom w:val="single" w:color="auto" w:sz="4" w:space="0"/>
              <w:right w:val="single" w:color="auto" w:sz="4" w:space="0"/>
            </w:tcBorders>
            <w:vAlign w:val="center"/>
          </w:tcPr>
          <w:p w14:paraId="3029A4E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highlight w:val="none"/>
              </w:rPr>
              <w:t>3</w:t>
            </w:r>
            <w:r>
              <w:rPr>
                <w:rFonts w:hint="eastAsia" w:eastAsia="宋体" w:cs="Times New Roman"/>
                <w:color w:val="auto"/>
                <w:kern w:val="2"/>
                <w:highlight w:val="none"/>
                <w:lang w:val="en-US" w:eastAsia="zh-CN"/>
              </w:rPr>
              <w:t>台</w:t>
            </w:r>
          </w:p>
        </w:tc>
        <w:tc>
          <w:tcPr>
            <w:tcW w:w="2290" w:type="dxa"/>
            <w:tcBorders>
              <w:top w:val="nil"/>
              <w:left w:val="nil"/>
              <w:bottom w:val="single" w:color="auto" w:sz="4" w:space="0"/>
              <w:right w:val="single" w:color="auto" w:sz="4" w:space="0"/>
            </w:tcBorders>
            <w:vAlign w:val="center"/>
          </w:tcPr>
          <w:p w14:paraId="0570D8FB">
            <w:pPr>
              <w:widowControl/>
              <w:jc w:val="center"/>
              <w:textAlignment w:val="center"/>
              <w:rPr>
                <w:rFonts w:hint="eastAsia" w:ascii="Times New Roman" w:hAnsi="Times New Roman" w:eastAsia="宋体" w:cs="Times New Roman"/>
                <w:color w:val="auto"/>
                <w:kern w:val="2"/>
                <w:highlight w:val="none"/>
              </w:rPr>
            </w:pPr>
            <w:r>
              <w:rPr>
                <w:rFonts w:hint="eastAsia" w:eastAsia="宋体" w:cs="Times New Roman"/>
                <w:color w:val="auto"/>
                <w:kern w:val="2"/>
                <w:sz w:val="21"/>
                <w:szCs w:val="24"/>
                <w:highlight w:val="none"/>
                <w:lang w:val="en-US" w:eastAsia="zh-CN"/>
              </w:rPr>
              <w:t>/</w:t>
            </w:r>
          </w:p>
        </w:tc>
      </w:tr>
      <w:tr w14:paraId="2A029036">
        <w:tblPrEx>
          <w:tblCellMar>
            <w:top w:w="0" w:type="dxa"/>
            <w:left w:w="108" w:type="dxa"/>
            <w:bottom w:w="0" w:type="dxa"/>
            <w:right w:w="108" w:type="dxa"/>
          </w:tblCellMar>
        </w:tblPrEx>
        <w:trPr>
          <w:trHeight w:val="622" w:hRule="atLeast"/>
          <w:jc w:val="center"/>
        </w:trPr>
        <w:tc>
          <w:tcPr>
            <w:tcW w:w="924" w:type="dxa"/>
            <w:tcBorders>
              <w:top w:val="nil"/>
              <w:left w:val="single" w:color="auto" w:sz="4" w:space="0"/>
              <w:bottom w:val="single" w:color="auto" w:sz="4" w:space="0"/>
              <w:right w:val="single" w:color="auto" w:sz="4" w:space="0"/>
            </w:tcBorders>
            <w:vAlign w:val="center"/>
          </w:tcPr>
          <w:p w14:paraId="70F8CD1B">
            <w:pPr>
              <w:widowControl/>
              <w:jc w:val="center"/>
              <w:textAlignment w:val="center"/>
              <w:rPr>
                <w:rFonts w:hint="eastAsia" w:ascii="Times New Roman" w:hAnsi="Times New Roman" w:eastAsia="宋体" w:cs="Times New Roman"/>
                <w:color w:val="auto"/>
                <w:kern w:val="2"/>
                <w:sz w:val="21"/>
                <w:szCs w:val="24"/>
                <w:highlight w:val="none"/>
                <w:lang w:val="en-US" w:eastAsia="zh-CN"/>
              </w:rPr>
            </w:pPr>
          </w:p>
          <w:p w14:paraId="72A4A9D3">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5</w:t>
            </w:r>
          </w:p>
        </w:tc>
        <w:tc>
          <w:tcPr>
            <w:tcW w:w="2201" w:type="dxa"/>
            <w:tcBorders>
              <w:top w:val="nil"/>
              <w:left w:val="nil"/>
              <w:bottom w:val="single" w:color="auto" w:sz="4" w:space="0"/>
              <w:right w:val="single" w:color="auto" w:sz="4" w:space="0"/>
            </w:tcBorders>
            <w:vAlign w:val="center"/>
          </w:tcPr>
          <w:p w14:paraId="4AD02863">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olor w:val="auto"/>
                <w:highlight w:val="none"/>
                <w:lang w:val="en-US" w:eastAsia="zh-CN"/>
              </w:rPr>
              <w:t>多功能C型臂X射线机（ERCP）</w:t>
            </w:r>
            <w:r>
              <w:rPr>
                <w:rFonts w:hint="eastAsia" w:eastAsia="宋体"/>
                <w:color w:val="auto"/>
                <w:highlight w:val="none"/>
                <w:lang w:eastAsia="zh-CN"/>
              </w:rPr>
              <w:t>（</w:t>
            </w:r>
            <w:r>
              <w:rPr>
                <w:rFonts w:hint="eastAsia" w:eastAsia="宋体"/>
                <w:color w:val="auto"/>
                <w:highlight w:val="none"/>
                <w:lang w:val="en-US" w:eastAsia="zh-CN"/>
              </w:rPr>
              <w:t>二类射线装置</w:t>
            </w:r>
            <w:r>
              <w:rPr>
                <w:rFonts w:hint="eastAsia" w:eastAsia="宋体"/>
                <w:color w:val="auto"/>
                <w:highlight w:val="none"/>
                <w:lang w:eastAsia="zh-CN"/>
              </w:rPr>
              <w:t>）</w:t>
            </w:r>
          </w:p>
        </w:tc>
        <w:tc>
          <w:tcPr>
            <w:tcW w:w="955" w:type="dxa"/>
            <w:tcBorders>
              <w:top w:val="single" w:color="auto" w:sz="4" w:space="0"/>
              <w:left w:val="nil"/>
              <w:bottom w:val="single" w:color="auto" w:sz="4" w:space="0"/>
              <w:right w:val="single" w:color="auto" w:sz="4" w:space="0"/>
            </w:tcBorders>
            <w:vAlign w:val="center"/>
          </w:tcPr>
          <w:p w14:paraId="758B56AD">
            <w:pPr>
              <w:keepNext w:val="0"/>
              <w:keepLines w:val="0"/>
              <w:widowControl/>
              <w:suppressLineNumbers w:val="0"/>
              <w:jc w:val="center"/>
              <w:textAlignment w:val="center"/>
              <w:rPr>
                <w:rFonts w:hint="eastAsia" w:ascii="Times New Roman" w:hAnsi="Times New Roman" w:eastAsia="宋体" w:cs="Times New Roman"/>
                <w:b w:val="0"/>
                <w:bCs w:val="0"/>
                <w:i w:val="0"/>
                <w:color w:val="auto"/>
                <w:kern w:val="2"/>
                <w:sz w:val="21"/>
                <w:szCs w:val="24"/>
                <w:highlight w:val="none"/>
                <w:u w:val="none"/>
                <w:lang w:val="en-US" w:eastAsia="zh-CN" w:bidi="ar"/>
              </w:rPr>
            </w:pPr>
            <w:r>
              <w:rPr>
                <w:rFonts w:hint="eastAsia" w:eastAsia="宋体"/>
                <w:color w:val="auto"/>
                <w:highlight w:val="none"/>
              </w:rPr>
              <w:t>内镜</w:t>
            </w:r>
            <w:r>
              <w:rPr>
                <w:rFonts w:hint="eastAsia" w:eastAsia="宋体"/>
                <w:color w:val="auto"/>
                <w:highlight w:val="none"/>
                <w:lang w:val="en-US" w:eastAsia="zh-CN"/>
              </w:rPr>
              <w:t>中心</w:t>
            </w:r>
          </w:p>
        </w:tc>
        <w:tc>
          <w:tcPr>
            <w:tcW w:w="2314" w:type="dxa"/>
            <w:tcBorders>
              <w:top w:val="nil"/>
              <w:left w:val="nil"/>
              <w:bottom w:val="single" w:color="auto" w:sz="4" w:space="0"/>
              <w:right w:val="single" w:color="auto" w:sz="4" w:space="0"/>
            </w:tcBorders>
            <w:vAlign w:val="center"/>
          </w:tcPr>
          <w:p w14:paraId="76DFF4E5">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sz w:val="21"/>
                <w:szCs w:val="24"/>
                <w:highlight w:val="none"/>
                <w:lang w:val="en-US" w:eastAsia="zh-CN"/>
              </w:rPr>
              <w:t>台</w:t>
            </w:r>
          </w:p>
        </w:tc>
        <w:tc>
          <w:tcPr>
            <w:tcW w:w="2290" w:type="dxa"/>
            <w:tcBorders>
              <w:top w:val="nil"/>
              <w:left w:val="nil"/>
              <w:bottom w:val="single" w:color="auto" w:sz="4" w:space="0"/>
              <w:right w:val="single" w:color="auto" w:sz="4" w:space="0"/>
            </w:tcBorders>
            <w:vAlign w:val="center"/>
          </w:tcPr>
          <w:p w14:paraId="6DE3201D">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w:t>
            </w:r>
            <w:r>
              <w:rPr>
                <w:rFonts w:hint="eastAsia" w:eastAsia="宋体" w:cs="Times New Roman"/>
                <w:color w:val="auto"/>
                <w:kern w:val="2"/>
                <w:sz w:val="21"/>
                <w:szCs w:val="24"/>
                <w:highlight w:val="none"/>
                <w:lang w:val="en-US" w:eastAsia="zh-CN"/>
              </w:rPr>
              <w:t>台</w:t>
            </w:r>
          </w:p>
        </w:tc>
      </w:tr>
      <w:tr w14:paraId="225BF9DD">
        <w:tblPrEx>
          <w:tblCellMar>
            <w:top w:w="0" w:type="dxa"/>
            <w:left w:w="108" w:type="dxa"/>
            <w:bottom w:w="0" w:type="dxa"/>
            <w:right w:w="108" w:type="dxa"/>
          </w:tblCellMar>
        </w:tblPrEx>
        <w:trPr>
          <w:trHeight w:val="622" w:hRule="atLeast"/>
          <w:jc w:val="center"/>
        </w:trPr>
        <w:tc>
          <w:tcPr>
            <w:tcW w:w="924" w:type="dxa"/>
            <w:tcBorders>
              <w:top w:val="nil"/>
              <w:left w:val="single" w:color="auto" w:sz="4" w:space="0"/>
              <w:bottom w:val="single" w:color="auto" w:sz="4" w:space="0"/>
              <w:right w:val="single" w:color="auto" w:sz="4" w:space="0"/>
            </w:tcBorders>
            <w:vAlign w:val="center"/>
          </w:tcPr>
          <w:p w14:paraId="42AA79D7">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6</w:t>
            </w:r>
          </w:p>
        </w:tc>
        <w:tc>
          <w:tcPr>
            <w:tcW w:w="2201" w:type="dxa"/>
            <w:tcBorders>
              <w:top w:val="single" w:color="auto" w:sz="4" w:space="0"/>
              <w:left w:val="nil"/>
              <w:bottom w:val="single" w:color="auto" w:sz="4" w:space="0"/>
              <w:right w:val="single" w:color="auto" w:sz="4" w:space="0"/>
            </w:tcBorders>
            <w:vAlign w:val="center"/>
          </w:tcPr>
          <w:p w14:paraId="3F029CF9">
            <w:pPr>
              <w:keepNext w:val="0"/>
              <w:keepLines w:val="0"/>
              <w:widowControl/>
              <w:suppressLineNumbers w:val="0"/>
              <w:jc w:val="center"/>
              <w:textAlignment w:val="center"/>
              <w:rPr>
                <w:rFonts w:hint="eastAsia" w:eastAsia="宋体"/>
                <w:color w:val="auto"/>
                <w:highlight w:val="none"/>
              </w:rPr>
            </w:pPr>
            <w:r>
              <w:rPr>
                <w:rFonts w:hint="eastAsia" w:eastAsia="宋体"/>
                <w:color w:val="auto"/>
                <w:highlight w:val="none"/>
              </w:rPr>
              <w:t>碘125粒子植入</w:t>
            </w:r>
          </w:p>
        </w:tc>
        <w:tc>
          <w:tcPr>
            <w:tcW w:w="955" w:type="dxa"/>
            <w:tcBorders>
              <w:top w:val="single" w:color="auto" w:sz="4" w:space="0"/>
              <w:left w:val="nil"/>
              <w:bottom w:val="single" w:color="auto" w:sz="4" w:space="0"/>
              <w:right w:val="single" w:color="auto" w:sz="4" w:space="0"/>
            </w:tcBorders>
            <w:vAlign w:val="center"/>
          </w:tcPr>
          <w:p w14:paraId="2E9F2758">
            <w:pPr>
              <w:keepNext w:val="0"/>
              <w:keepLines w:val="0"/>
              <w:widowControl/>
              <w:suppressLineNumbers w:val="0"/>
              <w:jc w:val="center"/>
              <w:textAlignment w:val="center"/>
              <w:rPr>
                <w:rFonts w:hint="eastAsia" w:eastAsia="宋体"/>
                <w:color w:val="auto"/>
                <w:highlight w:val="none"/>
              </w:rPr>
            </w:pPr>
            <w:r>
              <w:rPr>
                <w:rFonts w:hint="eastAsia" w:eastAsia="宋体"/>
                <w:color w:val="auto"/>
                <w:highlight w:val="none"/>
              </w:rPr>
              <w:t>内五科</w:t>
            </w:r>
          </w:p>
        </w:tc>
        <w:tc>
          <w:tcPr>
            <w:tcW w:w="2314" w:type="dxa"/>
            <w:tcBorders>
              <w:top w:val="single" w:color="auto" w:sz="4" w:space="0"/>
              <w:left w:val="nil"/>
              <w:bottom w:val="single" w:color="auto" w:sz="4" w:space="0"/>
              <w:right w:val="single" w:color="auto" w:sz="4" w:space="0"/>
            </w:tcBorders>
            <w:vAlign w:val="center"/>
          </w:tcPr>
          <w:p w14:paraId="369D7829">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1项</w:t>
            </w:r>
          </w:p>
        </w:tc>
        <w:tc>
          <w:tcPr>
            <w:tcW w:w="2290" w:type="dxa"/>
            <w:tcBorders>
              <w:top w:val="single" w:color="auto" w:sz="4" w:space="0"/>
              <w:left w:val="nil"/>
              <w:bottom w:val="single" w:color="auto" w:sz="4" w:space="0"/>
              <w:right w:val="single" w:color="auto" w:sz="4" w:space="0"/>
            </w:tcBorders>
            <w:vAlign w:val="center"/>
          </w:tcPr>
          <w:p w14:paraId="10C97FB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w:t>
            </w:r>
          </w:p>
        </w:tc>
      </w:tr>
      <w:tr w14:paraId="7E3BCB09">
        <w:tblPrEx>
          <w:tblCellMar>
            <w:top w:w="0" w:type="dxa"/>
            <w:left w:w="108" w:type="dxa"/>
            <w:bottom w:w="0" w:type="dxa"/>
            <w:right w:w="108" w:type="dxa"/>
          </w:tblCellMar>
        </w:tblPrEx>
        <w:trPr>
          <w:trHeight w:val="622"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6EF6DBB8">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7</w:t>
            </w:r>
          </w:p>
        </w:tc>
        <w:tc>
          <w:tcPr>
            <w:tcW w:w="2201" w:type="dxa"/>
            <w:tcBorders>
              <w:top w:val="single" w:color="auto" w:sz="4" w:space="0"/>
              <w:left w:val="nil"/>
              <w:bottom w:val="single" w:color="auto" w:sz="4" w:space="0"/>
              <w:right w:val="single" w:color="auto" w:sz="4" w:space="0"/>
            </w:tcBorders>
            <w:vAlign w:val="center"/>
          </w:tcPr>
          <w:p w14:paraId="5AEE3825">
            <w:pPr>
              <w:keepNext w:val="0"/>
              <w:keepLines w:val="0"/>
              <w:widowControl/>
              <w:suppressLineNumbers w:val="0"/>
              <w:jc w:val="center"/>
              <w:textAlignment w:val="center"/>
              <w:rPr>
                <w:rFonts w:hint="eastAsia" w:eastAsia="宋体"/>
                <w:color w:val="auto"/>
                <w:highlight w:val="none"/>
              </w:rPr>
            </w:pPr>
            <w:r>
              <w:rPr>
                <w:rFonts w:hint="eastAsia" w:eastAsia="宋体"/>
                <w:color w:val="auto"/>
                <w:highlight w:val="none"/>
                <w:lang w:val="en-US" w:eastAsia="zh-CN"/>
              </w:rPr>
              <w:t>专家评审服务次数</w:t>
            </w:r>
          </w:p>
        </w:tc>
        <w:tc>
          <w:tcPr>
            <w:tcW w:w="955" w:type="dxa"/>
            <w:tcBorders>
              <w:top w:val="single" w:color="auto" w:sz="4" w:space="0"/>
              <w:left w:val="nil"/>
              <w:bottom w:val="single" w:color="auto" w:sz="4" w:space="0"/>
              <w:right w:val="single" w:color="auto" w:sz="4" w:space="0"/>
            </w:tcBorders>
            <w:vAlign w:val="center"/>
          </w:tcPr>
          <w:p w14:paraId="7CAA1C75">
            <w:pPr>
              <w:widowControl/>
              <w:jc w:val="center"/>
              <w:textAlignment w:val="center"/>
              <w:rPr>
                <w:rFonts w:hint="eastAsia" w:eastAsia="宋体"/>
                <w:color w:val="auto"/>
                <w:highlight w:val="none"/>
              </w:rPr>
            </w:pPr>
            <w:r>
              <w:rPr>
                <w:rFonts w:hint="eastAsia" w:ascii="Times New Roman" w:hAnsi="Times New Roman" w:eastAsia="宋体" w:cs="Times New Roman"/>
                <w:color w:val="auto"/>
                <w:kern w:val="2"/>
                <w:sz w:val="21"/>
                <w:szCs w:val="24"/>
                <w:highlight w:val="none"/>
                <w:lang w:val="en-US" w:eastAsia="zh-CN"/>
              </w:rPr>
              <w:t>/</w:t>
            </w:r>
          </w:p>
        </w:tc>
        <w:tc>
          <w:tcPr>
            <w:tcW w:w="2314" w:type="dxa"/>
            <w:tcBorders>
              <w:top w:val="single" w:color="auto" w:sz="4" w:space="0"/>
              <w:left w:val="nil"/>
              <w:bottom w:val="single" w:color="auto" w:sz="4" w:space="0"/>
              <w:right w:val="single" w:color="auto" w:sz="4" w:space="0"/>
            </w:tcBorders>
            <w:vAlign w:val="center"/>
          </w:tcPr>
          <w:p w14:paraId="602DC4D2">
            <w:pPr>
              <w:widowControl/>
              <w:jc w:val="center"/>
              <w:textAlignment w:val="center"/>
              <w:rPr>
                <w:rFonts w:hint="eastAsia"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1次</w:t>
            </w:r>
          </w:p>
        </w:tc>
        <w:tc>
          <w:tcPr>
            <w:tcW w:w="2290" w:type="dxa"/>
            <w:tcBorders>
              <w:top w:val="single" w:color="auto" w:sz="4" w:space="0"/>
              <w:left w:val="nil"/>
              <w:bottom w:val="single" w:color="auto" w:sz="4" w:space="0"/>
              <w:right w:val="single" w:color="auto" w:sz="4" w:space="0"/>
            </w:tcBorders>
            <w:vAlign w:val="center"/>
          </w:tcPr>
          <w:p w14:paraId="33FCD98F">
            <w:pPr>
              <w:widowControl/>
              <w:jc w:val="center"/>
              <w:textAlignment w:val="center"/>
              <w:rPr>
                <w:rFonts w:hint="default"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1次</w:t>
            </w:r>
          </w:p>
        </w:tc>
      </w:tr>
      <w:tr w14:paraId="77197F38">
        <w:tblPrEx>
          <w:tblCellMar>
            <w:top w:w="0" w:type="dxa"/>
            <w:left w:w="108" w:type="dxa"/>
            <w:bottom w:w="0" w:type="dxa"/>
            <w:right w:w="108" w:type="dxa"/>
          </w:tblCellMar>
        </w:tblPrEx>
        <w:trPr>
          <w:trHeight w:val="622"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61B644D9">
            <w:pPr>
              <w:widowControl/>
              <w:jc w:val="center"/>
              <w:textAlignment w:val="center"/>
              <w:rPr>
                <w:rFonts w:hint="default" w:ascii="Times New Roman" w:hAnsi="Times New Roman" w:eastAsia="宋体" w:cs="Times New Roman"/>
                <w:color w:val="auto"/>
                <w:kern w:val="2"/>
                <w:sz w:val="21"/>
                <w:szCs w:val="24"/>
                <w:highlight w:val="none"/>
                <w:lang w:val="en-US" w:eastAsia="zh-CN"/>
              </w:rPr>
            </w:pPr>
            <w:r>
              <w:rPr>
                <w:rFonts w:hint="eastAsia" w:cs="Times New Roman"/>
                <w:color w:val="auto"/>
                <w:kern w:val="2"/>
                <w:sz w:val="21"/>
                <w:szCs w:val="24"/>
                <w:highlight w:val="none"/>
                <w:lang w:val="en-US" w:eastAsia="zh-CN"/>
              </w:rPr>
              <w:t>8</w:t>
            </w:r>
          </w:p>
        </w:tc>
        <w:tc>
          <w:tcPr>
            <w:tcW w:w="5470" w:type="dxa"/>
            <w:gridSpan w:val="3"/>
            <w:tcBorders>
              <w:top w:val="single" w:color="auto" w:sz="4" w:space="0"/>
              <w:left w:val="nil"/>
              <w:bottom w:val="single" w:color="auto" w:sz="4" w:space="0"/>
              <w:right w:val="single" w:color="auto" w:sz="4" w:space="0"/>
            </w:tcBorders>
            <w:vAlign w:val="center"/>
          </w:tcPr>
          <w:p w14:paraId="40AB80EE">
            <w:pPr>
              <w:widowControl/>
              <w:jc w:val="center"/>
              <w:textAlignment w:val="center"/>
              <w:rPr>
                <w:rFonts w:hint="eastAsia" w:ascii="Times New Roman" w:hAnsi="Times New Roman" w:eastAsia="宋体" w:cs="Times New Roman"/>
                <w:color w:val="auto"/>
                <w:kern w:val="2"/>
                <w:sz w:val="21"/>
                <w:szCs w:val="24"/>
                <w:highlight w:val="none"/>
                <w:lang w:val="en-US" w:eastAsia="zh-CN"/>
              </w:rPr>
            </w:pPr>
            <w:r>
              <w:rPr>
                <w:rFonts w:hint="eastAsia" w:eastAsia="宋体"/>
                <w:color w:val="auto"/>
                <w:highlight w:val="none"/>
                <w:lang w:val="en-US" w:eastAsia="zh-CN"/>
              </w:rPr>
              <w:t>协助完成《辐射安全许可证》设备增项上证服务</w:t>
            </w:r>
          </w:p>
        </w:tc>
        <w:tc>
          <w:tcPr>
            <w:tcW w:w="2290" w:type="dxa"/>
            <w:tcBorders>
              <w:top w:val="single" w:color="auto" w:sz="4" w:space="0"/>
              <w:left w:val="nil"/>
              <w:bottom w:val="single" w:color="auto" w:sz="4" w:space="0"/>
              <w:right w:val="single" w:color="auto" w:sz="4" w:space="0"/>
            </w:tcBorders>
            <w:vAlign w:val="center"/>
          </w:tcPr>
          <w:p w14:paraId="77FBFC2B">
            <w:pPr>
              <w:widowControl/>
              <w:jc w:val="center"/>
              <w:textAlignment w:val="center"/>
              <w:rPr>
                <w:rFonts w:hint="default"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3次</w:t>
            </w:r>
          </w:p>
        </w:tc>
      </w:tr>
    </w:tbl>
    <w:p w14:paraId="530FEE23">
      <w:pPr>
        <w:tabs>
          <w:tab w:val="right" w:pos="9524"/>
        </w:tabs>
        <w:ind w:firstLine="482" w:firstLineChars="200"/>
        <w:rPr>
          <w:rFonts w:ascii="宋体" w:hAnsi="宋体" w:cs="宋体"/>
          <w:b/>
          <w:color w:val="auto"/>
          <w:sz w:val="24"/>
          <w:szCs w:val="24"/>
          <w:highlight w:val="none"/>
          <w:u w:val="single"/>
        </w:rPr>
      </w:pPr>
    </w:p>
    <w:p w14:paraId="588EEB51">
      <w:pPr>
        <w:tabs>
          <w:tab w:val="right" w:pos="9524"/>
        </w:tabs>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供应商资格要求</w:t>
      </w:r>
    </w:p>
    <w:p w14:paraId="54BC74D6">
      <w:pPr>
        <w:widowControl/>
        <w:tabs>
          <w:tab w:val="left" w:pos="525"/>
        </w:tabs>
        <w:adjustRightInd w:val="0"/>
        <w:snapToGrid w:val="0"/>
        <w:spacing w:line="360" w:lineRule="auto"/>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val="en-US" w:eastAsia="zh-CN"/>
        </w:rPr>
        <w:t>（一）</w:t>
      </w:r>
      <w:r>
        <w:rPr>
          <w:rFonts w:hint="eastAsia" w:cs="宋体" w:asciiTheme="minorEastAsia" w:hAnsiTheme="minorEastAsia"/>
          <w:color w:val="auto"/>
          <w:sz w:val="24"/>
          <w:szCs w:val="24"/>
          <w:highlight w:val="none"/>
        </w:rPr>
        <w:t>供应商必须是具有独立承担民事责任能力的在中华人民共和国境内注册的法人或其他组织或自然人，提交有效的营业执照（或事业法人登记证或身份证等相关证明）。</w:t>
      </w:r>
    </w:p>
    <w:p w14:paraId="07F16664">
      <w:pPr>
        <w:widowControl/>
        <w:tabs>
          <w:tab w:val="left" w:pos="735"/>
        </w:tabs>
        <w:adjustRightInd w:val="0"/>
        <w:snapToGrid w:val="0"/>
        <w:spacing w:line="360" w:lineRule="auto"/>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w:t>
      </w:r>
      <w:r>
        <w:rPr>
          <w:rFonts w:hint="eastAsia" w:cs="宋体" w:asciiTheme="minorEastAsia" w:hAnsiTheme="minorEastAsia"/>
          <w:color w:val="auto"/>
          <w:sz w:val="24"/>
          <w:szCs w:val="24"/>
          <w:highlight w:val="none"/>
          <w:lang w:val="en-US" w:eastAsia="zh-CN"/>
        </w:rPr>
        <w:t>二</w:t>
      </w:r>
      <w:r>
        <w:rPr>
          <w:rFonts w:hint="eastAsia" w:cs="宋体" w:asciiTheme="minorEastAsia" w:hAnsiTheme="minorEastAsia"/>
          <w:color w:val="auto"/>
          <w:sz w:val="24"/>
          <w:szCs w:val="24"/>
          <w:highlight w:val="none"/>
          <w:lang w:eastAsia="zh-CN"/>
        </w:rPr>
        <w:t>）</w:t>
      </w:r>
      <w:r>
        <w:rPr>
          <w:rFonts w:hint="eastAsia" w:cs="宋体" w:asciiTheme="minorEastAsia" w:hAnsiTheme="minorEastAsia"/>
          <w:color w:val="auto"/>
          <w:sz w:val="24"/>
          <w:szCs w:val="24"/>
          <w:highlight w:val="none"/>
        </w:rPr>
        <w:t>供应商</w:t>
      </w:r>
      <w:r>
        <w:rPr>
          <w:rFonts w:hint="eastAsia" w:cs="宋体" w:asciiTheme="minorEastAsia" w:hAnsiTheme="minorEastAsia"/>
          <w:color w:val="auto"/>
          <w:sz w:val="24"/>
          <w:szCs w:val="24"/>
          <w:highlight w:val="none"/>
          <w:lang w:val="en-US" w:eastAsia="zh-CN"/>
        </w:rPr>
        <w:t>须</w:t>
      </w:r>
      <w:r>
        <w:rPr>
          <w:rFonts w:hint="eastAsia" w:cs="宋体" w:asciiTheme="minorEastAsia" w:hAnsiTheme="minorEastAsia"/>
          <w:color w:val="auto"/>
          <w:sz w:val="24"/>
          <w:szCs w:val="24"/>
          <w:highlight w:val="none"/>
        </w:rPr>
        <w:t>具有</w:t>
      </w:r>
      <w:r>
        <w:rPr>
          <w:rFonts w:hint="eastAsia" w:cs="宋体" w:asciiTheme="minorEastAsia" w:hAnsiTheme="minorEastAsia"/>
          <w:color w:val="auto"/>
          <w:sz w:val="24"/>
          <w:szCs w:val="24"/>
          <w:highlight w:val="none"/>
          <w:lang w:val="en-US" w:eastAsia="zh-CN"/>
        </w:rPr>
        <w:t>核技术利用项目环境影响评价报告表编制能力，提供</w:t>
      </w:r>
      <w:r>
        <w:rPr>
          <w:rFonts w:hint="eastAsia" w:ascii="宋体" w:hAnsi="宋体" w:cs="宋体"/>
          <w:color w:val="auto"/>
          <w:sz w:val="24"/>
          <w:szCs w:val="24"/>
          <w:highlight w:val="none"/>
          <w:lang w:val="en-US" w:eastAsia="zh-CN"/>
        </w:rPr>
        <w:t>“环境影响评价信用平台”（https://xypt.china-eia.com/XYPT/）”查询截图</w:t>
      </w:r>
      <w:r>
        <w:rPr>
          <w:rFonts w:hint="eastAsia" w:cs="宋体" w:asciiTheme="minorEastAsia" w:hAnsiTheme="minorEastAsia"/>
          <w:color w:val="auto"/>
          <w:sz w:val="24"/>
          <w:szCs w:val="24"/>
          <w:highlight w:val="none"/>
        </w:rPr>
        <w:t>。</w:t>
      </w:r>
    </w:p>
    <w:p w14:paraId="009681DC">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四、</w:t>
      </w:r>
      <w:r>
        <w:rPr>
          <w:rFonts w:hint="eastAsia" w:ascii="宋体" w:hAnsi="宋体"/>
          <w:b/>
          <w:color w:val="auto"/>
          <w:sz w:val="24"/>
          <w:szCs w:val="24"/>
          <w:highlight w:val="none"/>
          <w:lang w:val="en-US" w:eastAsia="zh-CN"/>
        </w:rPr>
        <w:t>项目</w:t>
      </w:r>
      <w:r>
        <w:rPr>
          <w:rFonts w:hint="eastAsia" w:ascii="宋体" w:hAnsi="宋体"/>
          <w:b/>
          <w:color w:val="auto"/>
          <w:sz w:val="24"/>
          <w:szCs w:val="24"/>
          <w:highlight w:val="none"/>
        </w:rPr>
        <w:t>要求</w:t>
      </w:r>
    </w:p>
    <w:p w14:paraId="709B29CC">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rPr>
        <w:t>依据国家</w:t>
      </w:r>
      <w:r>
        <w:rPr>
          <w:rFonts w:cs="Arial" w:asciiTheme="minorEastAsia" w:hAnsiTheme="minorEastAsia"/>
          <w:color w:val="auto"/>
          <w:sz w:val="24"/>
          <w:szCs w:val="24"/>
          <w:highlight w:val="none"/>
        </w:rPr>
        <w:t>《中华人民共和国环境影响评价法》</w:t>
      </w:r>
      <w:r>
        <w:rPr>
          <w:rFonts w:hint="eastAsia" w:cs="Arial" w:asciiTheme="minorEastAsia" w:hAnsiTheme="minorEastAsia"/>
          <w:color w:val="auto"/>
          <w:sz w:val="24"/>
          <w:szCs w:val="24"/>
          <w:highlight w:val="none"/>
        </w:rPr>
        <w:t>、</w:t>
      </w:r>
      <w:r>
        <w:rPr>
          <w:rFonts w:cs="Arial" w:asciiTheme="minorEastAsia" w:hAnsiTheme="minorEastAsia"/>
          <w:color w:val="auto"/>
          <w:sz w:val="24"/>
          <w:szCs w:val="24"/>
          <w:highlight w:val="none"/>
        </w:rPr>
        <w:t>《中华人民共和国</w:t>
      </w:r>
      <w:r>
        <w:rPr>
          <w:rFonts w:hint="eastAsia" w:cs="Times New Roman" w:asciiTheme="minorEastAsia" w:hAnsiTheme="minorEastAsia"/>
          <w:color w:val="auto"/>
          <w:sz w:val="24"/>
          <w:szCs w:val="24"/>
          <w:highlight w:val="none"/>
        </w:rPr>
        <w:t>放射性污染防治</w:t>
      </w:r>
      <w:r>
        <w:rPr>
          <w:rFonts w:cs="Arial" w:asciiTheme="minorEastAsia" w:hAnsiTheme="minorEastAsia"/>
          <w:color w:val="auto"/>
          <w:sz w:val="24"/>
          <w:szCs w:val="24"/>
          <w:highlight w:val="none"/>
        </w:rPr>
        <w:t>法》</w:t>
      </w:r>
      <w:r>
        <w:rPr>
          <w:color w:val="auto"/>
          <w:spacing w:val="-3"/>
          <w:highlight w:val="none"/>
        </w:rPr>
        <w:t>《建设项目环境</w:t>
      </w:r>
      <w:r>
        <w:rPr>
          <w:color w:val="auto"/>
          <w:spacing w:val="-4"/>
          <w:highlight w:val="none"/>
        </w:rPr>
        <w:t>影响评价分类</w:t>
      </w:r>
      <w:r>
        <w:rPr>
          <w:color w:val="auto"/>
          <w:spacing w:val="-1"/>
          <w:highlight w:val="none"/>
        </w:rPr>
        <w:t>管理名录》；《建设项目竣工环境保护验收管理办法》</w:t>
      </w:r>
      <w:r>
        <w:rPr>
          <w:rFonts w:hint="eastAsia" w:cs="Arial" w:asciiTheme="minorEastAsia" w:hAnsiTheme="minorEastAsia"/>
          <w:color w:val="auto"/>
          <w:sz w:val="24"/>
          <w:szCs w:val="24"/>
          <w:highlight w:val="none"/>
        </w:rPr>
        <w:t>等法律法规的</w:t>
      </w:r>
      <w:r>
        <w:rPr>
          <w:rFonts w:hint="eastAsia" w:cs="宋体" w:asciiTheme="minorEastAsia" w:hAnsiTheme="minorEastAsia"/>
          <w:color w:val="auto"/>
          <w:sz w:val="24"/>
          <w:szCs w:val="24"/>
          <w:highlight w:val="none"/>
        </w:rPr>
        <w:t>要求，现决定进行对</w:t>
      </w:r>
      <w:r>
        <w:rPr>
          <w:rFonts w:hint="eastAsia" w:cs="宋体" w:asciiTheme="minorEastAsia" w:hAnsiTheme="minorEastAsia"/>
          <w:color w:val="auto"/>
          <w:sz w:val="24"/>
          <w:szCs w:val="24"/>
          <w:highlight w:val="none"/>
          <w:lang w:val="en-US" w:eastAsia="zh-CN"/>
        </w:rPr>
        <w:t>我院新建的核技术利用项目开展</w:t>
      </w:r>
      <w:r>
        <w:rPr>
          <w:rFonts w:hint="eastAsia" w:ascii="宋体" w:hAnsi="宋体" w:eastAsia="宋体" w:cs="宋体"/>
          <w:bCs/>
          <w:color w:val="auto"/>
          <w:kern w:val="2"/>
          <w:sz w:val="24"/>
          <w:szCs w:val="24"/>
          <w:highlight w:val="none"/>
          <w:lang w:val="en-US" w:eastAsia="zh-CN" w:bidi="ar-SA"/>
        </w:rPr>
        <w:t>环境影响评价及竣工环境保护验收</w:t>
      </w:r>
      <w:r>
        <w:rPr>
          <w:rFonts w:hint="eastAsia" w:ascii="宋体" w:hAnsi="宋体" w:cs="宋体"/>
          <w:bCs/>
          <w:color w:val="auto"/>
          <w:sz w:val="24"/>
          <w:szCs w:val="24"/>
          <w:highlight w:val="none"/>
          <w:lang w:val="en-US" w:eastAsia="zh-CN"/>
        </w:rPr>
        <w:t>服务</w:t>
      </w:r>
      <w:r>
        <w:rPr>
          <w:rFonts w:hint="eastAsia" w:cs="宋体" w:asciiTheme="minorEastAsia" w:hAnsiTheme="minorEastAsia"/>
          <w:color w:val="auto"/>
          <w:sz w:val="24"/>
          <w:szCs w:val="24"/>
          <w:highlight w:val="none"/>
        </w:rPr>
        <w:t>，在双方约定的时间期限和项目范围内向医院提供公正、科学、客观、独立的评价和检测报告，并对其内容和结果负责，在合同约定的期限内，编写</w:t>
      </w:r>
      <w:r>
        <w:rPr>
          <w:rFonts w:hint="eastAsia" w:cs="宋体" w:asciiTheme="minorEastAsia" w:hAnsiTheme="minorEastAsia"/>
          <w:color w:val="auto"/>
          <w:sz w:val="24"/>
          <w:szCs w:val="24"/>
          <w:highlight w:val="none"/>
          <w:lang w:val="en-US" w:eastAsia="zh-CN"/>
        </w:rPr>
        <w:t>核技术利用项目环境影响评价报告表或填报备案登记表</w:t>
      </w:r>
      <w:r>
        <w:rPr>
          <w:rFonts w:hint="eastAsia" w:cs="宋体" w:asciiTheme="minorEastAsia" w:hAnsiTheme="minorEastAsia"/>
          <w:color w:val="auto"/>
          <w:sz w:val="24"/>
          <w:szCs w:val="24"/>
          <w:highlight w:val="none"/>
          <w:lang w:eastAsia="zh-CN"/>
        </w:rPr>
        <w:t>，</w:t>
      </w:r>
      <w:r>
        <w:rPr>
          <w:rFonts w:hint="eastAsia" w:cs="Times New Roman" w:asciiTheme="minorEastAsia" w:hAnsiTheme="minorEastAsia"/>
          <w:color w:val="auto"/>
          <w:sz w:val="24"/>
          <w:szCs w:val="24"/>
          <w:highlight w:val="none"/>
        </w:rPr>
        <w:t>并</w:t>
      </w:r>
      <w:r>
        <w:rPr>
          <w:rFonts w:hint="eastAsia" w:cs="宋体" w:asciiTheme="minorEastAsia" w:hAnsiTheme="minorEastAsia"/>
          <w:color w:val="auto"/>
          <w:sz w:val="24"/>
          <w:szCs w:val="24"/>
          <w:highlight w:val="none"/>
        </w:rPr>
        <w:t>完成约定的其</w:t>
      </w:r>
      <w:r>
        <w:rPr>
          <w:rFonts w:hint="eastAsia" w:eastAsia="宋体" w:cs="宋体" w:asciiTheme="minorEastAsia" w:hAnsiTheme="minorEastAsia"/>
          <w:color w:val="auto"/>
          <w:sz w:val="24"/>
          <w:szCs w:val="24"/>
          <w:highlight w:val="none"/>
          <w:lang w:val="en-US" w:eastAsia="zh-CN"/>
        </w:rPr>
        <w:t>他相关工作，具体包括(但不限于以下内容)：</w:t>
      </w:r>
    </w:p>
    <w:p w14:paraId="69186757">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（1）通过对项目有关资料分析，从辐射防护角度确认项目的合法性及辐射工作的正当性。</w:t>
      </w:r>
    </w:p>
    <w:p w14:paraId="79AFD9CB">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（2）通过对工程设计的计算与核实，论证项目辐射防护工程综合设计。并与设计单位就本工程评价报告需要对工程设计变更等工作进行协调和沟通，并达成一致意见。</w:t>
      </w:r>
    </w:p>
    <w:p w14:paraId="243CC3EC">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（3）通过对辐射防护安全系统分析，论证所采取的辐射安全措施是否可行，并提出修改意见。</w:t>
      </w:r>
    </w:p>
    <w:p w14:paraId="6C6607FB">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（4）依据相关辐射防护法律法规及行政主管部门要求，提出医院项目建设时应建立的各项辐射防护规章制度和其他防护措施，供使用单位参考，并确保投入运行的可行性。</w:t>
      </w:r>
    </w:p>
    <w:p w14:paraId="0F6382E8">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（5）从辐射防护最优化与确保安全生产角度提出辐射防护建议，供设计单位、建设单位和使用单位参考。</w:t>
      </w:r>
    </w:p>
    <w:p w14:paraId="03EC422A">
      <w:pPr>
        <w:spacing w:line="360" w:lineRule="auto"/>
        <w:ind w:firstLine="480" w:firstLineChars="200"/>
        <w:jc w:val="left"/>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（6）编制环境影响评价报告表或填报备案登记表、竣工环境保护验收报告；承办评价报告评审会和中间成果汇报会；根据专家评审意见修改、补充及完善评价报告。</w:t>
      </w:r>
    </w:p>
    <w:p w14:paraId="2752244B">
      <w:pPr>
        <w:spacing w:line="360" w:lineRule="auto"/>
        <w:ind w:firstLine="480" w:firstLineChars="200"/>
        <w:jc w:val="left"/>
        <w:rPr>
          <w:rFonts w:hint="eastAsia" w:ascii="宋体" w:hAnsi="宋体"/>
          <w:b/>
          <w:color w:val="auto"/>
          <w:sz w:val="24"/>
          <w:szCs w:val="24"/>
          <w:highlight w:val="none"/>
          <w:lang w:val="en-US" w:eastAsia="zh-CN"/>
        </w:rPr>
      </w:pPr>
      <w:r>
        <w:rPr>
          <w:rFonts w:hint="eastAsia" w:eastAsia="宋体" w:cs="宋体" w:asciiTheme="minorEastAsia" w:hAnsiTheme="minorEastAsia"/>
          <w:color w:val="auto"/>
          <w:sz w:val="24"/>
          <w:szCs w:val="24"/>
          <w:highlight w:val="none"/>
          <w:lang w:val="en-US" w:eastAsia="zh-CN"/>
        </w:rPr>
        <w:t>（7）取得环境行政主管部门的环评批文，组织相关竣工环保验收，协助取得《辐射安全许可证》设备增项上证服务，预计3次。</w:t>
      </w:r>
    </w:p>
    <w:p w14:paraId="626E1084">
      <w:pPr>
        <w:spacing w:line="360" w:lineRule="auto"/>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五、付款方式</w:t>
      </w:r>
    </w:p>
    <w:p w14:paraId="5A2A8C9A">
      <w:pPr>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项目无预付款，分两次付款：1：完成环境评价取得批复。2：完成《辐射安全许可证》设备增项上证。</w:t>
      </w:r>
    </w:p>
    <w:p w14:paraId="16C392C3">
      <w:pPr>
        <w:spacing w:line="360" w:lineRule="auto"/>
        <w:ind w:firstLine="480" w:firstLineChars="200"/>
        <w:jc w:val="left"/>
        <w:rPr>
          <w:rFonts w:ascii="宋体" w:hAnsi="宋体" w:cs="宋体"/>
          <w:bCs/>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GIyNDQzNWNiYjMxYjAyNGE1ZjM0ZWE3YTM0YjgifQ=="/>
  </w:docVars>
  <w:rsids>
    <w:rsidRoot w:val="00374D45"/>
    <w:rsid w:val="0000339A"/>
    <w:rsid w:val="00023FE5"/>
    <w:rsid w:val="00064621"/>
    <w:rsid w:val="00066BBF"/>
    <w:rsid w:val="00071C06"/>
    <w:rsid w:val="000739C9"/>
    <w:rsid w:val="00171DF1"/>
    <w:rsid w:val="001A4134"/>
    <w:rsid w:val="001C0CF5"/>
    <w:rsid w:val="001F636E"/>
    <w:rsid w:val="00202A8D"/>
    <w:rsid w:val="002120C7"/>
    <w:rsid w:val="00296FA1"/>
    <w:rsid w:val="002B6583"/>
    <w:rsid w:val="002D1FCF"/>
    <w:rsid w:val="002F46FA"/>
    <w:rsid w:val="003055DE"/>
    <w:rsid w:val="00321B4F"/>
    <w:rsid w:val="00324C8D"/>
    <w:rsid w:val="00325B9F"/>
    <w:rsid w:val="00337979"/>
    <w:rsid w:val="0034034A"/>
    <w:rsid w:val="00374D45"/>
    <w:rsid w:val="00396E46"/>
    <w:rsid w:val="004A5D44"/>
    <w:rsid w:val="004A7228"/>
    <w:rsid w:val="004B63EE"/>
    <w:rsid w:val="004D7F0C"/>
    <w:rsid w:val="00567E18"/>
    <w:rsid w:val="00581E0E"/>
    <w:rsid w:val="00585C5D"/>
    <w:rsid w:val="005F763D"/>
    <w:rsid w:val="00623FE5"/>
    <w:rsid w:val="00634A8A"/>
    <w:rsid w:val="006609D2"/>
    <w:rsid w:val="00697379"/>
    <w:rsid w:val="006B3C2A"/>
    <w:rsid w:val="006C38AE"/>
    <w:rsid w:val="006D2D20"/>
    <w:rsid w:val="006F32D4"/>
    <w:rsid w:val="00756192"/>
    <w:rsid w:val="007D5211"/>
    <w:rsid w:val="00817961"/>
    <w:rsid w:val="00894AEB"/>
    <w:rsid w:val="008B3020"/>
    <w:rsid w:val="008E1A9F"/>
    <w:rsid w:val="00926D01"/>
    <w:rsid w:val="00960811"/>
    <w:rsid w:val="00970930"/>
    <w:rsid w:val="009714C2"/>
    <w:rsid w:val="0098032B"/>
    <w:rsid w:val="009C77F5"/>
    <w:rsid w:val="009D0B1D"/>
    <w:rsid w:val="00A2379C"/>
    <w:rsid w:val="00A32BAE"/>
    <w:rsid w:val="00A672A6"/>
    <w:rsid w:val="00A9173E"/>
    <w:rsid w:val="00AA4C4D"/>
    <w:rsid w:val="00AD7CF1"/>
    <w:rsid w:val="00B01082"/>
    <w:rsid w:val="00B2297A"/>
    <w:rsid w:val="00B25807"/>
    <w:rsid w:val="00B70955"/>
    <w:rsid w:val="00BA5F33"/>
    <w:rsid w:val="00BB15F9"/>
    <w:rsid w:val="00BD2FD1"/>
    <w:rsid w:val="00BD4FFB"/>
    <w:rsid w:val="00C14306"/>
    <w:rsid w:val="00C216F0"/>
    <w:rsid w:val="00C2403A"/>
    <w:rsid w:val="00C2543D"/>
    <w:rsid w:val="00C45E2B"/>
    <w:rsid w:val="00C600AE"/>
    <w:rsid w:val="00C61089"/>
    <w:rsid w:val="00C64D20"/>
    <w:rsid w:val="00C97977"/>
    <w:rsid w:val="00CE2022"/>
    <w:rsid w:val="00D31909"/>
    <w:rsid w:val="00D3612C"/>
    <w:rsid w:val="00D42384"/>
    <w:rsid w:val="00D84A1A"/>
    <w:rsid w:val="00D86A71"/>
    <w:rsid w:val="00D86FAC"/>
    <w:rsid w:val="00D90639"/>
    <w:rsid w:val="00D95614"/>
    <w:rsid w:val="00DA611E"/>
    <w:rsid w:val="00DF5488"/>
    <w:rsid w:val="00E05860"/>
    <w:rsid w:val="00E51BD4"/>
    <w:rsid w:val="00E65193"/>
    <w:rsid w:val="00E767C0"/>
    <w:rsid w:val="00E84B64"/>
    <w:rsid w:val="00EB440C"/>
    <w:rsid w:val="00EC6F75"/>
    <w:rsid w:val="00EF1AD3"/>
    <w:rsid w:val="00F36EB5"/>
    <w:rsid w:val="00F91E35"/>
    <w:rsid w:val="00FA7BDF"/>
    <w:rsid w:val="00FC29DA"/>
    <w:rsid w:val="03441B0A"/>
    <w:rsid w:val="06553595"/>
    <w:rsid w:val="07AB1CF7"/>
    <w:rsid w:val="087D6A24"/>
    <w:rsid w:val="0C2E36E7"/>
    <w:rsid w:val="0D96208A"/>
    <w:rsid w:val="10737AF1"/>
    <w:rsid w:val="117E0FE2"/>
    <w:rsid w:val="1418678C"/>
    <w:rsid w:val="170704A8"/>
    <w:rsid w:val="1B7C4B1C"/>
    <w:rsid w:val="1BAA44DA"/>
    <w:rsid w:val="1BC61AE0"/>
    <w:rsid w:val="21996A49"/>
    <w:rsid w:val="23377209"/>
    <w:rsid w:val="24AD4E5B"/>
    <w:rsid w:val="24F42080"/>
    <w:rsid w:val="299B6018"/>
    <w:rsid w:val="2A113FD6"/>
    <w:rsid w:val="2B5E554F"/>
    <w:rsid w:val="2B9D6077"/>
    <w:rsid w:val="2DD06DB9"/>
    <w:rsid w:val="328255C9"/>
    <w:rsid w:val="348768B9"/>
    <w:rsid w:val="36AF5802"/>
    <w:rsid w:val="37321A8F"/>
    <w:rsid w:val="37E843D5"/>
    <w:rsid w:val="38D40C78"/>
    <w:rsid w:val="3B094CE0"/>
    <w:rsid w:val="3B8055FB"/>
    <w:rsid w:val="3C7E77FF"/>
    <w:rsid w:val="3DFF0223"/>
    <w:rsid w:val="4196004F"/>
    <w:rsid w:val="42F40E3A"/>
    <w:rsid w:val="43314802"/>
    <w:rsid w:val="45034182"/>
    <w:rsid w:val="4B5C440F"/>
    <w:rsid w:val="4D29116D"/>
    <w:rsid w:val="4EE000A5"/>
    <w:rsid w:val="4F5F0169"/>
    <w:rsid w:val="4FE816F3"/>
    <w:rsid w:val="51BC69A8"/>
    <w:rsid w:val="52B93647"/>
    <w:rsid w:val="54607C19"/>
    <w:rsid w:val="58C64BB8"/>
    <w:rsid w:val="5C0B1524"/>
    <w:rsid w:val="5CF13375"/>
    <w:rsid w:val="5DAC3D63"/>
    <w:rsid w:val="5E1E4FE4"/>
    <w:rsid w:val="5E9842F9"/>
    <w:rsid w:val="5F0D7A02"/>
    <w:rsid w:val="60426183"/>
    <w:rsid w:val="6087005A"/>
    <w:rsid w:val="636E4A28"/>
    <w:rsid w:val="636F31B7"/>
    <w:rsid w:val="63B33448"/>
    <w:rsid w:val="67A36850"/>
    <w:rsid w:val="6A542D5E"/>
    <w:rsid w:val="70BE0D0B"/>
    <w:rsid w:val="737A003D"/>
    <w:rsid w:val="79E84010"/>
    <w:rsid w:val="7D916129"/>
    <w:rsid w:val="7FC329C5"/>
    <w:rsid w:val="7FC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after="120" w:line="360" w:lineRule="auto"/>
      <w:ind w:firstLine="425"/>
      <w:jc w:val="both"/>
    </w:pPr>
    <w:rPr>
      <w:rFonts w:ascii="Times New Roman" w:hAnsi="Times New Roman" w:eastAsia="宋体" w:cs="Times New Roman"/>
      <w:kern w:val="2"/>
      <w:sz w:val="21"/>
      <w:lang w:val="en-US" w:eastAsia="zh-CN" w:bidi="ar-SA"/>
    </w:rPr>
  </w:style>
  <w:style w:type="paragraph" w:styleId="3">
    <w:name w:val="Body Text Indent"/>
    <w:basedOn w:val="1"/>
    <w:next w:val="4"/>
    <w:qFormat/>
    <w:uiPriority w:val="0"/>
    <w:pPr>
      <w:adjustRightInd w:val="0"/>
      <w:snapToGrid w:val="0"/>
      <w:ind w:firstLine="560" w:firstLineChars="200"/>
    </w:pPr>
    <w:rPr>
      <w:rFonts w:ascii="宋体" w:hAnsi="宋体"/>
      <w:sz w:val="28"/>
    </w:rPr>
  </w:style>
  <w:style w:type="paragraph" w:styleId="4">
    <w:name w:val="Body Text First Indent 2"/>
    <w:basedOn w:val="3"/>
    <w:qFormat/>
    <w:uiPriority w:val="0"/>
    <w:pPr>
      <w:spacing w:after="120"/>
      <w:ind w:left="420" w:leftChars="200" w:firstLine="210"/>
    </w:pPr>
  </w:style>
  <w:style w:type="paragraph" w:styleId="5">
    <w:name w:val="annotation text"/>
    <w:basedOn w:val="1"/>
    <w:link w:val="17"/>
    <w:qFormat/>
    <w:uiPriority w:val="0"/>
    <w:pPr>
      <w:jc w:val="left"/>
    </w:pPr>
  </w:style>
  <w:style w:type="paragraph" w:styleId="6">
    <w:name w:val="Plain Text"/>
    <w:basedOn w:val="1"/>
    <w:qFormat/>
    <w:uiPriority w:val="99"/>
    <w:rPr>
      <w:rFonts w:ascii="宋体" w:hAnsi="Courier New"/>
    </w:rPr>
  </w:style>
  <w:style w:type="paragraph" w:styleId="7">
    <w:name w:val="Balloon Text"/>
    <w:basedOn w:val="1"/>
    <w:link w:val="18"/>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qFormat/>
    <w:uiPriority w:val="0"/>
    <w:rPr>
      <w:sz w:val="21"/>
    </w:rPr>
  </w:style>
  <w:style w:type="paragraph" w:customStyle="1" w:styleId="14">
    <w:name w:val="表格文字"/>
    <w:basedOn w:val="15"/>
    <w:qFormat/>
    <w:uiPriority w:val="0"/>
    <w:pPr>
      <w:spacing w:before="25" w:after="25"/>
      <w:jc w:val="left"/>
    </w:pPr>
    <w:rPr>
      <w:bCs/>
      <w:spacing w:val="10"/>
      <w:sz w:val="24"/>
      <w:szCs w:val="20"/>
    </w:rPr>
  </w:style>
  <w:style w:type="paragraph" w:customStyle="1" w:styleId="15">
    <w:name w:val="表格文字（两侧对齐）"/>
    <w:qFormat/>
    <w:uiPriority w:val="0"/>
    <w:pPr>
      <w:widowControl w:val="0"/>
      <w:snapToGrid w:val="0"/>
      <w:jc w:val="both"/>
    </w:pPr>
    <w:rPr>
      <w:rFonts w:ascii="Calibri" w:hAnsi="Calibri" w:eastAsia="宋体" w:cs="Times New Roman"/>
      <w:szCs w:val="24"/>
      <w:lang w:val="en-US" w:eastAsia="zh-CN" w:bidi="ar-SA"/>
    </w:rPr>
  </w:style>
  <w:style w:type="character" w:customStyle="1" w:styleId="16">
    <w:name w:val="批注文字 字符"/>
    <w:basedOn w:val="12"/>
    <w:semiHidden/>
    <w:qFormat/>
    <w:uiPriority w:val="99"/>
    <w:rPr>
      <w:rFonts w:ascii="Times New Roman" w:hAnsi="Times New Roman" w:eastAsia="宋体" w:cs="Times New Roman"/>
      <w:szCs w:val="20"/>
    </w:rPr>
  </w:style>
  <w:style w:type="character" w:customStyle="1" w:styleId="17">
    <w:name w:val="批注文字 Char"/>
    <w:link w:val="5"/>
    <w:qFormat/>
    <w:uiPriority w:val="0"/>
    <w:rPr>
      <w:rFonts w:ascii="Times New Roman" w:hAnsi="Times New Roman" w:eastAsia="宋体" w:cs="Times New Roman"/>
      <w:szCs w:val="20"/>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99"/>
    <w:rPr>
      <w:rFonts w:ascii="Times New Roman" w:hAnsi="Times New Roman" w:eastAsia="宋体" w:cs="Times New Roman"/>
      <w:sz w:val="18"/>
      <w:szCs w:val="18"/>
    </w:rPr>
  </w:style>
  <w:style w:type="character" w:customStyle="1" w:styleId="21">
    <w:name w:val="页脚 Char"/>
    <w:basedOn w:val="12"/>
    <w:link w:val="8"/>
    <w:qFormat/>
    <w:uiPriority w:val="99"/>
    <w:rPr>
      <w:rFonts w:ascii="Times New Roman" w:hAnsi="Times New Roman" w:eastAsia="宋体" w:cs="Times New Roman"/>
      <w:sz w:val="18"/>
      <w:szCs w:val="18"/>
    </w:rPr>
  </w:style>
  <w:style w:type="paragraph" w:customStyle="1" w:styleId="22">
    <w:name w:val="Body text|1"/>
    <w:basedOn w:val="1"/>
    <w:qFormat/>
    <w:uiPriority w:val="0"/>
    <w:rPr>
      <w:rFonts w:ascii="宋体" w:hAnsi="宋体" w:cs="宋体"/>
      <w:lang w:val="zh-TW" w:eastAsia="zh-TW" w:bidi="zh-TW"/>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51"/>
    <w:basedOn w:val="12"/>
    <w:qFormat/>
    <w:uiPriority w:val="0"/>
    <w:rPr>
      <w:rFonts w:hint="eastAsia" w:ascii="仿宋" w:hAnsi="仿宋" w:eastAsia="仿宋" w:cs="仿宋"/>
      <w:color w:val="000000"/>
      <w:sz w:val="22"/>
      <w:szCs w:val="22"/>
      <w:u w:val="none"/>
    </w:rPr>
  </w:style>
  <w:style w:type="paragraph" w:customStyle="1" w:styleId="25">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1095</Words>
  <Characters>1135</Characters>
  <Lines>17</Lines>
  <Paragraphs>4</Paragraphs>
  <TotalTime>3</TotalTime>
  <ScaleCrop>false</ScaleCrop>
  <LinksUpToDate>false</LinksUpToDate>
  <CharactersWithSpaces>1136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2021-03-18T07:17:00Z</dcterms:created>
  <dc:creator>Feng</dc:creator>
  <cp:lastModifiedBy>孟伶俊</cp:lastModifiedBy>
  <dcterms:modified xsi:type="dcterms:W3CDTF">2024-12-17T04:04:57Z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DFCAC5F0BEA74E8BA2B78A02AF27FDC9_13</vt:lpwstr>
  </property>
</Properties>
</file>