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2"/>
          <w:szCs w:val="32"/>
        </w:rPr>
      </w:pPr>
      <w:r>
        <w:rPr>
          <w:rFonts w:hint="eastAsia"/>
          <w:b/>
          <w:sz w:val="32"/>
          <w:szCs w:val="32"/>
        </w:rPr>
        <w:t>项目采购需求</w:t>
      </w:r>
    </w:p>
    <w:p>
      <w:pPr>
        <w:widowControl/>
        <w:jc w:val="left"/>
        <w:rPr>
          <w:sz w:val="24"/>
        </w:rPr>
      </w:pPr>
      <w:r>
        <w:rPr>
          <w:rFonts w:hint="eastAsia"/>
          <w:b/>
          <w:sz w:val="24"/>
        </w:rPr>
        <w:t>一、项目基本情况</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、项目名称：中山市中医院防火墙采购项目</w:t>
      </w:r>
      <w:r>
        <w:rPr>
          <w:rFonts w:asciiTheme="minorEastAsia" w:hAnsiTheme="minorEastAsia" w:eastAsiaTheme="minorEastAsia"/>
          <w:color w:val="000000"/>
          <w:szCs w:val="21"/>
        </w:rPr>
        <w:t xml:space="preserve"> </w:t>
      </w:r>
    </w:p>
    <w:p>
      <w:pPr>
        <w:spacing w:line="460" w:lineRule="atLeast"/>
        <w:rPr>
          <w:rFonts w:hint="eastAsia" w:asciiTheme="minorEastAsia" w:hAnsiTheme="minorEastAsia" w:eastAsiaTheme="minorEastAsia"/>
          <w:color w:val="000000"/>
          <w:szCs w:val="21"/>
        </w:rPr>
      </w:pP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、项目内容：医院拟采购两台协作区域边界防火墙，以满足信息网络安全需要。</w:t>
      </w:r>
    </w:p>
    <w:p>
      <w:pPr>
        <w:spacing w:line="460" w:lineRule="atLeast"/>
        <w:rPr>
          <w:rFonts w:asciiTheme="minorEastAsia" w:hAnsiTheme="minorEastAsia" w:eastAsiaTheme="minorEastAsia"/>
          <w:color w:val="000000"/>
          <w:szCs w:val="21"/>
        </w:rPr>
      </w:pP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、项目上限价：￥26</w:t>
      </w:r>
      <w:r>
        <w:rPr>
          <w:rFonts w:asciiTheme="minorEastAsia" w:hAnsiTheme="minorEastAsia" w:eastAsiaTheme="minorEastAsia"/>
          <w:color w:val="000000"/>
          <w:szCs w:val="21"/>
        </w:rPr>
        <w:t>0000</w:t>
      </w:r>
      <w:r>
        <w:rPr>
          <w:rFonts w:hint="eastAsia" w:asciiTheme="minorEastAsia" w:hAnsiTheme="minorEastAsia" w:eastAsiaTheme="minorEastAsia"/>
          <w:color w:val="000000"/>
          <w:szCs w:val="21"/>
        </w:rPr>
        <w:t>元，超过采购上限价的属于无效响应。</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4、供货期：合同签订后3</w:t>
      </w:r>
      <w:r>
        <w:rPr>
          <w:rFonts w:asciiTheme="minorEastAsia" w:hAnsiTheme="minorEastAsia" w:eastAsiaTheme="minorEastAsia"/>
          <w:color w:val="000000"/>
          <w:szCs w:val="21"/>
        </w:rPr>
        <w:t>0</w:t>
      </w:r>
      <w:r>
        <w:rPr>
          <w:rFonts w:hint="eastAsia" w:asciiTheme="minorEastAsia" w:hAnsiTheme="minorEastAsia" w:eastAsiaTheme="minorEastAsia"/>
          <w:color w:val="000000"/>
          <w:szCs w:val="21"/>
        </w:rPr>
        <w:t>天</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w:t>
      </w:r>
      <w:r>
        <w:rPr>
          <w:rFonts w:asciiTheme="minorEastAsia" w:hAnsiTheme="minorEastAsia" w:eastAsiaTheme="minorEastAsia"/>
          <w:color w:val="000000"/>
          <w:szCs w:val="21"/>
        </w:rPr>
        <w:t>报价</w:t>
      </w:r>
      <w:r>
        <w:rPr>
          <w:rFonts w:hint="eastAsia" w:asciiTheme="minorEastAsia" w:hAnsiTheme="minorEastAsia" w:eastAsiaTheme="minorEastAsia"/>
          <w:color w:val="000000"/>
          <w:szCs w:val="21"/>
        </w:rPr>
        <w:t>：总价包干，报价应包括硬件采购、安装调试、验收、培训、售后服务、各种税费及合同实施过程中的不可预见费用等。</w:t>
      </w:r>
    </w:p>
    <w:p>
      <w:pPr>
        <w:spacing w:line="360" w:lineRule="auto"/>
        <w:rPr>
          <w:b/>
          <w:sz w:val="24"/>
        </w:rPr>
      </w:pPr>
      <w:r>
        <w:rPr>
          <w:rFonts w:hint="eastAsia"/>
          <w:b/>
          <w:sz w:val="24"/>
        </w:rPr>
        <w:t>二、</w:t>
      </w:r>
      <w:r>
        <w:rPr>
          <w:rFonts w:hint="eastAsia" w:ascii="宋体" w:hAnsi="宋体"/>
          <w:b/>
          <w:sz w:val="24"/>
        </w:rPr>
        <w:t>技术参数要求</w:t>
      </w:r>
    </w:p>
    <w:tbl>
      <w:tblPr>
        <w:tblStyle w:val="11"/>
        <w:tblW w:w="8217" w:type="dxa"/>
        <w:jc w:val="center"/>
        <w:tblInd w:w="0" w:type="dxa"/>
        <w:tblLayout w:type="fixed"/>
        <w:tblCellMar>
          <w:top w:w="0" w:type="dxa"/>
          <w:left w:w="108" w:type="dxa"/>
          <w:bottom w:w="0" w:type="dxa"/>
          <w:right w:w="108" w:type="dxa"/>
        </w:tblCellMar>
      </w:tblPr>
      <w:tblGrid>
        <w:gridCol w:w="704"/>
        <w:gridCol w:w="1276"/>
        <w:gridCol w:w="6237"/>
      </w:tblGrid>
      <w:tr>
        <w:tblPrEx>
          <w:tblLayout w:type="fixed"/>
          <w:tblCellMar>
            <w:top w:w="0" w:type="dxa"/>
            <w:left w:w="108" w:type="dxa"/>
            <w:bottom w:w="0" w:type="dxa"/>
            <w:right w:w="108" w:type="dxa"/>
          </w:tblCellMar>
        </w:tblPrEx>
        <w:trPr>
          <w:trHeight w:val="5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序号</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rPr>
            </w:pPr>
            <w:r>
              <w:rPr>
                <w:rFonts w:hint="eastAsia"/>
              </w:rPr>
              <w:t>项目名称</w:t>
            </w:r>
          </w:p>
        </w:tc>
        <w:tc>
          <w:tcPr>
            <w:tcW w:w="623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rPr>
            </w:pPr>
            <w:r>
              <w:rPr>
                <w:rFonts w:hint="eastAsia"/>
              </w:rPr>
              <w:t>技术要求</w:t>
            </w:r>
          </w:p>
        </w:tc>
      </w:tr>
      <w:tr>
        <w:tblPrEx>
          <w:tblLayout w:type="fixed"/>
          <w:tblCellMar>
            <w:top w:w="0" w:type="dxa"/>
            <w:left w:w="108" w:type="dxa"/>
            <w:bottom w:w="0" w:type="dxa"/>
            <w:right w:w="108" w:type="dxa"/>
          </w:tblCellMar>
        </w:tblPrEx>
        <w:trPr>
          <w:trHeight w:val="5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硬件要求</w:t>
            </w:r>
          </w:p>
        </w:tc>
        <w:tc>
          <w:tcPr>
            <w:tcW w:w="6237" w:type="dxa"/>
            <w:tcBorders>
              <w:top w:val="single" w:color="auto" w:sz="4" w:space="0"/>
              <w:left w:val="nil"/>
              <w:bottom w:val="single" w:color="auto" w:sz="4" w:space="0"/>
              <w:right w:val="single" w:color="auto" w:sz="4" w:space="0"/>
            </w:tcBorders>
            <w:shd w:val="clear" w:color="auto" w:fill="auto"/>
          </w:tcPr>
          <w:p>
            <w:r>
              <w:rPr>
                <w:rFonts w:hint="eastAsia"/>
              </w:rPr>
              <w:t>规格≥1U、内存≥16G、硬盘容量≥480GB SSD、冗余电源、接口≥16千兆电口+6万兆光口SF</w:t>
            </w:r>
          </w:p>
        </w:tc>
      </w:tr>
      <w:tr>
        <w:tblPrEx>
          <w:tblLayout w:type="fixed"/>
          <w:tblCellMar>
            <w:top w:w="0" w:type="dxa"/>
            <w:left w:w="108" w:type="dxa"/>
            <w:bottom w:w="0" w:type="dxa"/>
            <w:right w:w="108" w:type="dxa"/>
          </w:tblCellMar>
        </w:tblPrEx>
        <w:trPr>
          <w:trHeight w:val="5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性能要求</w:t>
            </w:r>
          </w:p>
        </w:tc>
        <w:tc>
          <w:tcPr>
            <w:tcW w:w="6237" w:type="dxa"/>
            <w:tcBorders>
              <w:top w:val="single" w:color="auto" w:sz="4" w:space="0"/>
              <w:left w:val="nil"/>
              <w:bottom w:val="single" w:color="auto" w:sz="4" w:space="0"/>
              <w:right w:val="single" w:color="auto" w:sz="4" w:space="0"/>
            </w:tcBorders>
            <w:shd w:val="clear" w:color="auto" w:fill="auto"/>
          </w:tcPr>
          <w:p>
            <w:r>
              <w:rPr>
                <w:rFonts w:hint="eastAsia"/>
              </w:rPr>
              <w:t>网络层吞吐量≥35G、应用层吞吐量≥20G、防病毒吞吐量≥3.5 G、IPS吞吐量≥3G、全威胁吞吐量≥2G、并发连接数≥800万、HTTP新建连接数≥18万、IPSec最大隧道数≥4000、IPSec VPN吞吐量≥1.2G</w:t>
            </w:r>
          </w:p>
        </w:tc>
      </w:tr>
      <w:tr>
        <w:tblPrEx>
          <w:tblLayout w:type="fixed"/>
          <w:tblCellMar>
            <w:top w:w="0" w:type="dxa"/>
            <w:left w:w="108" w:type="dxa"/>
            <w:bottom w:w="0" w:type="dxa"/>
            <w:right w:w="108" w:type="dxa"/>
          </w:tblCellMar>
        </w:tblPrEx>
        <w:trPr>
          <w:trHeight w:val="410" w:hRule="atLeast"/>
          <w:jc w:val="center"/>
        </w:trPr>
        <w:tc>
          <w:tcPr>
            <w:tcW w:w="704" w:type="dxa"/>
            <w:tcBorders>
              <w:top w:val="nil"/>
              <w:left w:val="single" w:color="auto" w:sz="4" w:space="0"/>
              <w:bottom w:val="single" w:color="auto" w:sz="4" w:space="0"/>
              <w:right w:val="single" w:color="auto" w:sz="4" w:space="0"/>
            </w:tcBorders>
            <w:vAlign w:val="center"/>
          </w:tcPr>
          <w:p>
            <w:pPr>
              <w:jc w:val="center"/>
              <w:rPr>
                <w:rFonts w:hint="eastAsia"/>
              </w:rPr>
            </w:pPr>
            <w:r>
              <w:t>3</w:t>
            </w:r>
          </w:p>
        </w:tc>
        <w:tc>
          <w:tcPr>
            <w:tcW w:w="127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NAT功能</w:t>
            </w:r>
          </w:p>
        </w:tc>
        <w:tc>
          <w:tcPr>
            <w:tcW w:w="6237" w:type="dxa"/>
            <w:tcBorders>
              <w:top w:val="single" w:color="auto" w:sz="4" w:space="0"/>
              <w:left w:val="nil"/>
              <w:bottom w:val="single" w:color="auto" w:sz="4" w:space="0"/>
              <w:right w:val="single" w:color="auto" w:sz="4" w:space="0"/>
            </w:tcBorders>
            <w:shd w:val="clear" w:color="auto" w:fill="auto"/>
          </w:tcPr>
          <w:p>
            <w:bookmarkStart w:id="0" w:name="_Hlk56093122"/>
            <w:r>
              <w:rPr>
                <w:rFonts w:hint="eastAsia"/>
              </w:rPr>
              <w:t>支持源地址转换S</w:t>
            </w:r>
            <w:r>
              <w:t>NAT</w:t>
            </w:r>
            <w:r>
              <w:rPr>
                <w:rFonts w:hint="eastAsia"/>
              </w:rPr>
              <w:t>、目的地址转换D</w:t>
            </w:r>
            <w:r>
              <w:t>NAT</w:t>
            </w:r>
            <w:r>
              <w:rPr>
                <w:rFonts w:hint="eastAsia"/>
              </w:rPr>
              <w:t>和双向</w:t>
            </w:r>
            <w:r>
              <w:t>NAT</w:t>
            </w:r>
            <w:r>
              <w:rPr>
                <w:rFonts w:hint="eastAsia"/>
              </w:rPr>
              <w:t>等功能， 支持一对一、一对多、多对一等形式的N</w:t>
            </w:r>
            <w:r>
              <w:t>AT</w:t>
            </w:r>
            <w:bookmarkEnd w:id="0"/>
          </w:p>
        </w:tc>
      </w:tr>
      <w:tr>
        <w:tblPrEx>
          <w:tblLayout w:type="fixed"/>
          <w:tblCellMar>
            <w:top w:w="0" w:type="dxa"/>
            <w:left w:w="108" w:type="dxa"/>
            <w:bottom w:w="0" w:type="dxa"/>
            <w:right w:w="108" w:type="dxa"/>
          </w:tblCellMar>
        </w:tblPrEx>
        <w:trPr>
          <w:trHeight w:val="410" w:hRule="atLeast"/>
          <w:jc w:val="center"/>
        </w:trPr>
        <w:tc>
          <w:tcPr>
            <w:tcW w:w="704" w:type="dxa"/>
            <w:tcBorders>
              <w:top w:val="nil"/>
              <w:left w:val="single" w:color="auto" w:sz="4" w:space="0"/>
              <w:bottom w:val="single" w:color="auto" w:sz="4" w:space="0"/>
              <w:right w:val="single" w:color="auto" w:sz="4" w:space="0"/>
            </w:tcBorders>
            <w:vAlign w:val="center"/>
          </w:tcPr>
          <w:p>
            <w:pPr>
              <w:jc w:val="center"/>
              <w:rPr>
                <w:rFonts w:hint="eastAsia"/>
              </w:rPr>
            </w:pPr>
            <w:r>
              <w:t>4</w:t>
            </w:r>
          </w:p>
        </w:tc>
        <w:tc>
          <w:tcPr>
            <w:tcW w:w="1276" w:type="dxa"/>
            <w:tcBorders>
              <w:top w:val="nil"/>
              <w:left w:val="single" w:color="auto" w:sz="4" w:space="0"/>
              <w:bottom w:val="single" w:color="auto" w:sz="4" w:space="0"/>
              <w:right w:val="single" w:color="auto" w:sz="4" w:space="0"/>
            </w:tcBorders>
            <w:shd w:val="clear" w:color="auto" w:fill="auto"/>
            <w:vAlign w:val="center"/>
          </w:tcPr>
          <w:p>
            <w:pPr>
              <w:jc w:val="center"/>
            </w:pPr>
            <w:r>
              <w:rPr>
                <w:rFonts w:hint="eastAsia"/>
              </w:rPr>
              <w:t>访问控制</w:t>
            </w:r>
          </w:p>
        </w:tc>
        <w:tc>
          <w:tcPr>
            <w:tcW w:w="6237" w:type="dxa"/>
            <w:tcBorders>
              <w:top w:val="single" w:color="auto" w:sz="4" w:space="0"/>
              <w:left w:val="nil"/>
              <w:bottom w:val="single" w:color="auto" w:sz="4" w:space="0"/>
              <w:right w:val="single" w:color="auto" w:sz="4" w:space="0"/>
            </w:tcBorders>
            <w:shd w:val="clear" w:color="auto" w:fill="auto"/>
          </w:tcPr>
          <w:p>
            <w:r>
              <w:rPr>
                <w:rFonts w:hint="eastAsia"/>
              </w:rPr>
              <w:t>支持多维度安全策略设置，可基于时间、用户、应用、IP、域名等内容进行安全策略设置</w:t>
            </w:r>
          </w:p>
        </w:tc>
      </w:tr>
      <w:tr>
        <w:tblPrEx>
          <w:tblLayout w:type="fixed"/>
          <w:tblCellMar>
            <w:top w:w="0" w:type="dxa"/>
            <w:left w:w="108" w:type="dxa"/>
            <w:bottom w:w="0" w:type="dxa"/>
            <w:right w:w="108" w:type="dxa"/>
          </w:tblCellMar>
        </w:tblPrEx>
        <w:trPr>
          <w:trHeight w:val="34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应用控制</w:t>
            </w:r>
          </w:p>
        </w:tc>
        <w:tc>
          <w:tcPr>
            <w:tcW w:w="6237"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产品内置应用特征识别库，支持不少于5000种应用规则，支持对游戏、P2P下载工具、聊天工具、网上银行、视频软件、股票软件、木马控制软件等类型应用进行检测与控制。</w:t>
            </w:r>
          </w:p>
        </w:tc>
      </w:tr>
      <w:tr>
        <w:tblPrEx>
          <w:tblLayout w:type="fixed"/>
          <w:tblCellMar>
            <w:top w:w="0" w:type="dxa"/>
            <w:left w:w="108" w:type="dxa"/>
            <w:bottom w:w="0" w:type="dxa"/>
            <w:right w:w="108" w:type="dxa"/>
          </w:tblCellMar>
        </w:tblPrEx>
        <w:trPr>
          <w:trHeight w:val="4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流量控制</w:t>
            </w:r>
          </w:p>
        </w:tc>
        <w:tc>
          <w:tcPr>
            <w:tcW w:w="6237" w:type="dxa"/>
            <w:tcBorders>
              <w:top w:val="single" w:color="auto" w:sz="4" w:space="0"/>
              <w:left w:val="nil"/>
              <w:bottom w:val="single" w:color="auto" w:sz="4" w:space="0"/>
              <w:right w:val="single" w:color="auto" w:sz="4" w:space="0"/>
            </w:tcBorders>
            <w:shd w:val="clear" w:color="auto" w:fill="auto"/>
          </w:tcPr>
          <w:p>
            <w:r>
              <w:rPr>
                <w:rFonts w:hint="eastAsia"/>
              </w:rPr>
              <w:t>基于线路、IP地址、上下行通道进行流量控制，保障核心业务带宽正常使用</w:t>
            </w:r>
            <w:bookmarkStart w:id="10" w:name="_GoBack"/>
            <w:bookmarkEnd w:id="10"/>
          </w:p>
        </w:tc>
      </w:tr>
      <w:tr>
        <w:tblPrEx>
          <w:tblLayout w:type="fixed"/>
          <w:tblCellMar>
            <w:top w:w="0" w:type="dxa"/>
            <w:left w:w="108" w:type="dxa"/>
            <w:bottom w:w="0" w:type="dxa"/>
            <w:right w:w="108" w:type="dxa"/>
          </w:tblCellMar>
        </w:tblPrEx>
        <w:trPr>
          <w:trHeight w:val="43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防病毒</w:t>
            </w:r>
          </w:p>
        </w:tc>
        <w:tc>
          <w:tcPr>
            <w:tcW w:w="6237" w:type="dxa"/>
            <w:tcBorders>
              <w:top w:val="single" w:color="auto" w:sz="4" w:space="0"/>
              <w:left w:val="nil"/>
              <w:bottom w:val="single" w:color="auto" w:sz="4" w:space="0"/>
              <w:right w:val="single" w:color="auto" w:sz="4" w:space="0"/>
            </w:tcBorders>
            <w:shd w:val="clear" w:color="auto" w:fill="auto"/>
          </w:tcPr>
          <w:p>
            <w:r>
              <w:rPr>
                <w:rFonts w:hint="eastAsia"/>
              </w:rPr>
              <w:t>产品支持对压缩病毒文件进行检测和拦截，压缩层数支持15层及以上。支持多种专业反病毒厂商的病毒特征库。病毒特征库规模不少于160万种+云端百亿级威胁情报，突破传统防火墙本地规则限制。</w:t>
            </w:r>
          </w:p>
        </w:tc>
      </w:tr>
      <w:tr>
        <w:tblPrEx>
          <w:tblLayout w:type="fixed"/>
          <w:tblCellMar>
            <w:top w:w="0" w:type="dxa"/>
            <w:left w:w="108" w:type="dxa"/>
            <w:bottom w:w="0" w:type="dxa"/>
            <w:right w:w="108" w:type="dxa"/>
          </w:tblCellMar>
        </w:tblPrEx>
        <w:trPr>
          <w:trHeight w:val="480" w:hRule="atLeast"/>
          <w:jc w:val="center"/>
        </w:trPr>
        <w:tc>
          <w:tcPr>
            <w:tcW w:w="704" w:type="dxa"/>
            <w:tcBorders>
              <w:top w:val="nil"/>
              <w:left w:val="single" w:color="auto" w:sz="4" w:space="0"/>
              <w:right w:val="single" w:color="auto" w:sz="4" w:space="0"/>
            </w:tcBorders>
            <w:vAlign w:val="center"/>
          </w:tcPr>
          <w:p>
            <w:pPr>
              <w:jc w:val="center"/>
              <w:rPr>
                <w:rFonts w:hint="eastAsia"/>
              </w:rPr>
            </w:pPr>
            <w:r>
              <w:t>8</w:t>
            </w:r>
          </w:p>
        </w:tc>
        <w:tc>
          <w:tcPr>
            <w:tcW w:w="1276" w:type="dxa"/>
            <w:tcBorders>
              <w:top w:val="nil"/>
              <w:left w:val="single" w:color="auto" w:sz="4" w:space="0"/>
              <w:right w:val="single" w:color="auto" w:sz="4" w:space="0"/>
            </w:tcBorders>
            <w:shd w:val="clear" w:color="auto" w:fill="auto"/>
            <w:vAlign w:val="center"/>
          </w:tcPr>
          <w:p>
            <w:pPr>
              <w:jc w:val="center"/>
            </w:pPr>
            <w:r>
              <w:rPr>
                <w:rFonts w:hint="eastAsia"/>
              </w:rPr>
              <w:t>入侵防御</w:t>
            </w:r>
          </w:p>
        </w:tc>
        <w:tc>
          <w:tcPr>
            <w:tcW w:w="6237" w:type="dxa"/>
            <w:tcBorders>
              <w:top w:val="single" w:color="auto" w:sz="4" w:space="0"/>
              <w:left w:val="nil"/>
              <w:bottom w:val="single" w:color="auto" w:sz="4" w:space="0"/>
              <w:right w:val="single" w:color="auto" w:sz="4" w:space="0"/>
            </w:tcBorders>
            <w:shd w:val="clear" w:color="auto" w:fill="auto"/>
            <w:vAlign w:val="center"/>
          </w:tcPr>
          <w:p>
            <w:r>
              <w:rPr>
                <w:rFonts w:hint="eastAsia"/>
              </w:rPr>
              <w:t>产品预定义漏洞特征数量不低于16000种，支持在产品漏洞特征库中以漏洞名称、漏洞ID、漏洞CVE标识、危险等级和漏洞描述等条件快速查询特定漏洞特征信息，支持用户自定义IPS规则；支持僵尸主机检测功能，产品预定义特征库不低于128万种，可识别主机的异常外联行为</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right w:val="single" w:color="auto" w:sz="4" w:space="0"/>
            </w:tcBorders>
            <w:vAlign w:val="center"/>
          </w:tcPr>
          <w:p>
            <w:pPr>
              <w:jc w:val="center"/>
              <w:rPr>
                <w:rFonts w:hint="eastAsia"/>
              </w:rPr>
            </w:pPr>
            <w:r>
              <w:t>9</w:t>
            </w:r>
          </w:p>
        </w:tc>
        <w:tc>
          <w:tcPr>
            <w:tcW w:w="1276" w:type="dxa"/>
            <w:tcBorders>
              <w:top w:val="single" w:color="auto" w:sz="4" w:space="0"/>
              <w:left w:val="single" w:color="auto" w:sz="4" w:space="0"/>
              <w:right w:val="single" w:color="auto" w:sz="4" w:space="0"/>
            </w:tcBorders>
            <w:vAlign w:val="center"/>
          </w:tcPr>
          <w:p>
            <w:pPr>
              <w:jc w:val="center"/>
            </w:pPr>
            <w:r>
              <w:rPr>
                <w:rFonts w:hint="eastAsia"/>
              </w:rPr>
              <w:t>Web安全防护</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支持对常见Web应用攻击防御，攻击类型至少包括跨站脚本（XSS）攻击、SQL注入、文件包含攻击、信息泄露攻击、WEBSHELL、网站扫描、网页木马等类型，产品预定义Web应用漏洞特征库不低于4580种；支持对请求报文头的X-Forward-For字段检测，并对非法源IP进行日志记录和联动封锁；支持针对地址、应用设置WAF白名单，支持攻击规则搜索以及自定义</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10</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会话控制</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1" w:name="_Hlk57276805"/>
            <w:r>
              <w:rPr>
                <w:rFonts w:hint="eastAsia"/>
              </w:rPr>
              <w:t>支持基于I</w:t>
            </w:r>
            <w:r>
              <w:t>P</w:t>
            </w:r>
            <w:r>
              <w:rPr>
                <w:rFonts w:hint="eastAsia"/>
              </w:rPr>
              <w:t>对象的会话控制策略，实现并发连接数的合理限制</w:t>
            </w:r>
            <w:bookmarkEnd w:id="1"/>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11</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访问控制策略</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r>
              <w:rPr>
                <w:rFonts w:hint="eastAsia"/>
              </w:rPr>
              <w:t>支持多维度安全策略设置，可基于时间、用户、应用、I</w:t>
            </w:r>
            <w:r>
              <w:t>P</w:t>
            </w:r>
            <w:r>
              <w:rPr>
                <w:rFonts w:hint="eastAsia"/>
              </w:rPr>
              <w:t>、域名等内容进行安全策略设置</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12</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地域访问控制</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2" w:name="_Hlk57280244"/>
            <w:r>
              <w:rPr>
                <w:rFonts w:hint="eastAsia"/>
              </w:rPr>
              <w:t>支持与国家位置信息结合设置安全策略，识别流量发起的国家或地区的位置信息，根据流量发起的国家或地区的访问位置信息实现对不同区域访问的差异化控制</w:t>
            </w:r>
            <w:bookmarkEnd w:id="2"/>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13</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U</w:t>
            </w:r>
            <w:r>
              <w:t>RL</w:t>
            </w:r>
            <w:r>
              <w:rPr>
                <w:rFonts w:hint="eastAsia"/>
              </w:rPr>
              <w:t>分类过滤</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3" w:name="_Hlk57283665"/>
            <w:r>
              <w:rPr>
                <w:rFonts w:hint="eastAsia"/>
              </w:rPr>
              <w:t>支持全面的U</w:t>
            </w:r>
            <w:r>
              <w:t>RL</w:t>
            </w:r>
            <w:r>
              <w:rPr>
                <w:rFonts w:hint="eastAsia"/>
              </w:rPr>
              <w:t>分类库，针对网站类别实现细粒度管控，杜绝非法、违规网站的访问行为</w:t>
            </w:r>
            <w:bookmarkEnd w:id="3"/>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文件过滤</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4" w:name="_Hlk57284408"/>
            <w:r>
              <w:rPr>
                <w:rFonts w:hint="eastAsia"/>
              </w:rPr>
              <w:t>支持对文件传输行为进行安全过滤，支持基于上传、下载、双向的文件内容过滤，内容过滤类型至少支持网页、脚本、压缩文件、图片、可执行文件、适配、文本等常见文件类型</w:t>
            </w:r>
            <w:bookmarkEnd w:id="4"/>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right w:val="single" w:color="auto" w:sz="4" w:space="0"/>
            </w:tcBorders>
            <w:vAlign w:val="center"/>
          </w:tcPr>
          <w:p>
            <w:pPr>
              <w:jc w:val="center"/>
              <w:rPr>
                <w:rFonts w:hint="eastAsia"/>
              </w:rPr>
            </w:pPr>
            <w:r>
              <w:t>15</w:t>
            </w:r>
          </w:p>
        </w:tc>
        <w:tc>
          <w:tcPr>
            <w:tcW w:w="1276" w:type="dxa"/>
            <w:tcBorders>
              <w:top w:val="single" w:color="auto" w:sz="4" w:space="0"/>
              <w:left w:val="single" w:color="auto" w:sz="4" w:space="0"/>
              <w:right w:val="single" w:color="auto" w:sz="4" w:space="0"/>
            </w:tcBorders>
            <w:vAlign w:val="center"/>
          </w:tcPr>
          <w:p>
            <w:pPr>
              <w:jc w:val="center"/>
            </w:pPr>
            <w:r>
              <w:rPr>
                <w:rFonts w:hint="eastAsia"/>
              </w:rPr>
              <w:t>受保护业务</w:t>
            </w:r>
          </w:p>
          <w:p>
            <w:pPr>
              <w:jc w:val="center"/>
            </w:pPr>
            <w:r>
              <w:rPr>
                <w:rFonts w:hint="eastAsia"/>
              </w:rPr>
              <w:t>账号安全</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5" w:name="_Hlk57311075"/>
            <w:r>
              <w:rPr>
                <w:rFonts w:hint="eastAsia"/>
              </w:rPr>
              <w:t>支持用户账号全生命周期保护功能，包括用户账号多余入口检测、用户账号弱口令检测、用户账号暴力破解检测、失陷账号检测，防止因账号被暴力破解导致的非法提权情况发生</w:t>
            </w:r>
            <w:bookmarkEnd w:id="5"/>
            <w:r>
              <w:rPr>
                <w:rFonts w:hint="eastAsia"/>
              </w:rPr>
              <w:t>；支持文件目录防护功能，通过对用户账号进行认证，对网站内容的修改行为进行合法性控制</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16</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管理员账号权限管控</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6" w:name="_Hlk57317968"/>
            <w:r>
              <w:rPr>
                <w:rFonts w:hint="eastAsia"/>
              </w:rPr>
              <w:t>支持三权分立功能，根据管理员权限分为安全管理员、审计员、系统管理员三种角色</w:t>
            </w:r>
            <w:bookmarkEnd w:id="6"/>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17</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认证</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7" w:name="_Hlk57319226"/>
            <w:bookmarkStart w:id="8" w:name="_Hlk57318031"/>
            <w:r>
              <w:rPr>
                <w:rFonts w:hint="eastAsia"/>
              </w:rPr>
              <w:t>支持管理员双因素认证功能，用户通过用户名/密码和Key等不同方式登陆产品管理界面</w:t>
            </w:r>
            <w:bookmarkEnd w:id="7"/>
            <w:bookmarkEnd w:id="8"/>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rPr>
            </w:pPr>
            <w:r>
              <w:t>18</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网管协议</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bookmarkStart w:id="9" w:name="_Hlk57319250"/>
            <w:r>
              <w:rPr>
                <w:rFonts w:hint="eastAsia"/>
              </w:rPr>
              <w:t>支持标准网管协议</w:t>
            </w:r>
            <w:r>
              <w:t>SNMP</w:t>
            </w:r>
            <w:r>
              <w:rPr>
                <w:rFonts w:hint="eastAsia"/>
              </w:rPr>
              <w:t xml:space="preserve"> </w:t>
            </w:r>
            <w:r>
              <w:t>V</w:t>
            </w:r>
            <w:r>
              <w:rPr>
                <w:rFonts w:hint="eastAsia"/>
              </w:rPr>
              <w:t>1、</w:t>
            </w:r>
            <w:r>
              <w:t>SNMP V</w:t>
            </w:r>
            <w:r>
              <w:rPr>
                <w:rFonts w:hint="eastAsia"/>
              </w:rPr>
              <w:t>2、</w:t>
            </w:r>
            <w:r>
              <w:t>SNMP</w:t>
            </w:r>
            <w:r>
              <w:rPr>
                <w:rFonts w:hint="eastAsia"/>
              </w:rPr>
              <w:t xml:space="preserve"> </w:t>
            </w:r>
            <w:r>
              <w:t>V3</w:t>
            </w:r>
            <w:r>
              <w:rPr>
                <w:rFonts w:hint="eastAsia"/>
              </w:rPr>
              <w:t>、S</w:t>
            </w:r>
            <w:r>
              <w:t>NMP T</w:t>
            </w:r>
            <w:r>
              <w:rPr>
                <w:rFonts w:hint="eastAsia"/>
              </w:rPr>
              <w:t>rap</w:t>
            </w:r>
            <w:bookmarkEnd w:id="9"/>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19</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1"/>
                <w:szCs w:val="21"/>
                <w:u w:val="none"/>
                <w:lang w:val="en-US" w:eastAsia="zh-CN" w:bidi="ar"/>
              </w:rPr>
              <w:t>入侵攻击防御</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1"/>
                <w:szCs w:val="21"/>
                <w:u w:val="none"/>
                <w:lang w:val="en-US" w:eastAsia="zh-CN" w:bidi="ar"/>
              </w:rPr>
              <w:t>产品支持僵尸主机检测功能，产品内置僵尸网络特征库</w:t>
            </w:r>
            <w:r>
              <w:rPr>
                <w:rFonts w:hint="eastAsia" w:ascii="宋体" w:hAnsi="宋体" w:cs="宋体"/>
                <w:i w:val="0"/>
                <w:color w:val="000000"/>
                <w:kern w:val="0"/>
                <w:sz w:val="21"/>
                <w:szCs w:val="21"/>
                <w:u w:val="none"/>
                <w:lang w:val="en-US" w:eastAsia="zh-CN" w:bidi="ar"/>
              </w:rPr>
              <w:t>不低于</w:t>
            </w:r>
            <w:r>
              <w:rPr>
                <w:rFonts w:hint="eastAsia" w:ascii="宋体" w:hAnsi="宋体" w:eastAsia="宋体" w:cs="宋体"/>
                <w:i w:val="0"/>
                <w:color w:val="000000"/>
                <w:kern w:val="0"/>
                <w:sz w:val="21"/>
                <w:szCs w:val="21"/>
                <w:u w:val="none"/>
                <w:lang w:val="en-US" w:eastAsia="zh-CN" w:bidi="ar"/>
              </w:rPr>
              <w:t>128万种，可识别主机的异常外联行为。</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20</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1"/>
                <w:szCs w:val="21"/>
                <w:u w:val="none"/>
                <w:lang w:val="en-US" w:eastAsia="zh-CN" w:bidi="ar"/>
              </w:rPr>
              <w:t>业务资产管理</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1"/>
                <w:szCs w:val="21"/>
                <w:u w:val="none"/>
                <w:lang w:val="en-US" w:eastAsia="zh-CN" w:bidi="ar"/>
              </w:rPr>
              <w:t>支持被动监测和主动扫描两种资产识别方式，可梳理离线资产、高危端口开放、冗余端口等安全风险；同时通过可视化的拓扑关系图，直观地展示资产和资产之间的访问关系、访问细节协议端口等信息</w:t>
            </w:r>
          </w:p>
        </w:tc>
      </w:tr>
      <w:tr>
        <w:tblPrEx>
          <w:tblLayout w:type="fixed"/>
          <w:tblCellMar>
            <w:top w:w="0" w:type="dxa"/>
            <w:left w:w="108" w:type="dxa"/>
            <w:bottom w:w="0" w:type="dxa"/>
            <w:right w:w="108" w:type="dxa"/>
          </w:tblCellMar>
        </w:tblPrEx>
        <w:trPr>
          <w:trHeight w:val="77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21</w:t>
            </w:r>
          </w:p>
        </w:tc>
        <w:tc>
          <w:tcPr>
            <w:tcW w:w="12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cs="宋体"/>
                <w:i w:val="0"/>
                <w:color w:val="000000"/>
                <w:kern w:val="0"/>
                <w:sz w:val="21"/>
                <w:szCs w:val="21"/>
                <w:u w:val="none"/>
                <w:lang w:val="en-US" w:eastAsia="zh-CN" w:bidi="ar"/>
              </w:rPr>
              <w:t>其他</w:t>
            </w:r>
          </w:p>
        </w:tc>
        <w:tc>
          <w:tcPr>
            <w:tcW w:w="62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1"/>
                <w:szCs w:val="21"/>
                <w:u w:val="none"/>
                <w:lang w:val="en-US" w:eastAsia="zh-CN" w:bidi="ar"/>
              </w:rPr>
              <w:t>所投产品符合CESI-WA-20240101《网络安全技术 网络型防火墙互联互通接口内容和格式》相关要求</w:t>
            </w:r>
          </w:p>
        </w:tc>
      </w:tr>
    </w:tbl>
    <w:p>
      <w:pPr>
        <w:spacing w:line="360" w:lineRule="auto"/>
        <w:rPr>
          <w:rFonts w:asciiTheme="minorEastAsia" w:hAnsiTheme="minorEastAsia" w:eastAsiaTheme="minorEastAsia"/>
          <w:color w:val="000000"/>
          <w:szCs w:val="21"/>
        </w:rPr>
      </w:pPr>
    </w:p>
    <w:p>
      <w:pPr>
        <w:spacing w:line="360" w:lineRule="auto"/>
        <w:rPr>
          <w:rFonts w:ascii="宋体" w:hAnsi="宋体"/>
          <w:b/>
          <w:sz w:val="24"/>
        </w:rPr>
      </w:pPr>
      <w:r>
        <w:rPr>
          <w:rFonts w:hint="eastAsia" w:ascii="宋体" w:hAnsi="宋体"/>
          <w:b/>
          <w:sz w:val="24"/>
        </w:rPr>
        <w:t>三、质量要求</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1、供应商提供的货物质量必须符合国家相关标准、行业标准及项目要求</w:t>
      </w:r>
      <w:r>
        <w:rPr>
          <w:rFonts w:asciiTheme="minorEastAsia" w:hAnsiTheme="minorEastAsia" w:eastAsiaTheme="minorEastAsia"/>
          <w:color w:val="000000"/>
          <w:szCs w:val="21"/>
        </w:rPr>
        <w:t>。</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2、供应商</w:t>
      </w:r>
      <w:r>
        <w:rPr>
          <w:rFonts w:asciiTheme="minorEastAsia" w:hAnsiTheme="minorEastAsia" w:eastAsiaTheme="minorEastAsia"/>
          <w:color w:val="000000"/>
          <w:szCs w:val="21"/>
        </w:rPr>
        <w:t>提供的</w:t>
      </w:r>
      <w:r>
        <w:rPr>
          <w:rFonts w:hint="eastAsia" w:asciiTheme="minorEastAsia" w:hAnsiTheme="minorEastAsia" w:eastAsiaTheme="minorEastAsia"/>
          <w:color w:val="000000"/>
          <w:szCs w:val="21"/>
        </w:rPr>
        <w:t>货物</w:t>
      </w:r>
      <w:r>
        <w:rPr>
          <w:rFonts w:asciiTheme="minorEastAsia" w:hAnsiTheme="minorEastAsia" w:eastAsiaTheme="minorEastAsia"/>
          <w:color w:val="000000"/>
          <w:szCs w:val="21"/>
        </w:rPr>
        <w:t>为</w:t>
      </w:r>
      <w:r>
        <w:rPr>
          <w:rFonts w:hint="eastAsia" w:asciiTheme="minorEastAsia" w:hAnsiTheme="minorEastAsia" w:eastAsiaTheme="minorEastAsia"/>
          <w:color w:val="000000"/>
          <w:szCs w:val="21"/>
        </w:rPr>
        <w:t>厂家原装正品、全新</w:t>
      </w:r>
      <w:r>
        <w:rPr>
          <w:rFonts w:asciiTheme="minorEastAsia" w:hAnsiTheme="minorEastAsia" w:eastAsiaTheme="minorEastAsia"/>
          <w:color w:val="000000"/>
          <w:szCs w:val="21"/>
        </w:rPr>
        <w:t>产品，</w:t>
      </w:r>
      <w:r>
        <w:rPr>
          <w:rFonts w:hint="eastAsia" w:asciiTheme="minorEastAsia" w:hAnsiTheme="minorEastAsia" w:eastAsiaTheme="minorEastAsia"/>
          <w:color w:val="000000"/>
          <w:szCs w:val="21"/>
        </w:rPr>
        <w:t>无侵权行为、表面无划损、无任何缺陷隐患，在中国境内可安全合法使用。</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pPr>
        <w:spacing w:line="460" w:lineRule="atLeas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4、供应商对由于设计工艺或材料的缺陷所发生的任何故障负责，所需费用由供应商承担。</w:t>
      </w:r>
    </w:p>
    <w:p>
      <w:pPr>
        <w:widowControl/>
        <w:spacing w:line="360" w:lineRule="auto"/>
        <w:jc w:val="left"/>
        <w:rPr>
          <w:b/>
          <w:sz w:val="24"/>
        </w:rPr>
      </w:pPr>
    </w:p>
    <w:p>
      <w:pPr>
        <w:widowControl/>
        <w:spacing w:line="360" w:lineRule="auto"/>
        <w:jc w:val="left"/>
        <w:rPr>
          <w:b/>
          <w:sz w:val="24"/>
        </w:rPr>
      </w:pPr>
      <w:r>
        <w:rPr>
          <w:rFonts w:hint="eastAsia"/>
          <w:b/>
          <w:sz w:val="24"/>
        </w:rPr>
        <w:t>四、服务要求</w:t>
      </w:r>
    </w:p>
    <w:p>
      <w:pPr>
        <w:widowControl/>
        <w:spacing w:line="360" w:lineRule="auto"/>
        <w:ind w:firstLine="240"/>
        <w:jc w:val="left"/>
        <w:rPr>
          <w:color w:val="000000"/>
        </w:rPr>
      </w:pPr>
      <w:r>
        <w:rPr>
          <w:rFonts w:hint="eastAsia"/>
          <w:color w:val="000000"/>
        </w:rPr>
        <w:t>1</w:t>
      </w:r>
      <w:r>
        <w:rPr>
          <w:rFonts w:hint="eastAsia" w:ascii="宋体" w:hAnsi="宋体"/>
          <w:color w:val="000000"/>
        </w:rPr>
        <w:t>、供应商须有专人负责货品供应事宜，包括配送、安装调试、售后服务等。</w:t>
      </w:r>
    </w:p>
    <w:p>
      <w:pPr>
        <w:widowControl/>
        <w:spacing w:line="360" w:lineRule="auto"/>
        <w:ind w:firstLine="240"/>
        <w:jc w:val="left"/>
        <w:rPr>
          <w:color w:val="000000"/>
        </w:rPr>
      </w:pPr>
      <w:r>
        <w:rPr>
          <w:color w:val="000000"/>
        </w:rPr>
        <w:t>2</w:t>
      </w:r>
      <w:r>
        <w:rPr>
          <w:rFonts w:hint="eastAsia" w:ascii="宋体" w:hAnsi="宋体"/>
          <w:color w:val="000000"/>
        </w:rPr>
        <w:t>、供应的货物如在拆封使用时发现有质量问题，成交供应商应给予退货或更换。</w:t>
      </w:r>
    </w:p>
    <w:p>
      <w:pPr>
        <w:widowControl/>
        <w:spacing w:line="360" w:lineRule="auto"/>
        <w:ind w:firstLine="240"/>
        <w:jc w:val="left"/>
        <w:rPr>
          <w:rFonts w:asciiTheme="minorEastAsia" w:hAnsiTheme="minorEastAsia" w:eastAsiaTheme="minorEastAsia"/>
        </w:rPr>
      </w:pPr>
      <w:r>
        <w:rPr>
          <w:color w:val="000000"/>
        </w:rPr>
        <w:t>3</w:t>
      </w:r>
      <w:r>
        <w:rPr>
          <w:rFonts w:hint="eastAsia" w:ascii="宋体" w:hAnsi="宋体"/>
          <w:color w:val="000000"/>
        </w:rPr>
        <w:t>、产品质保期、运维支持、软件升级须不少于三年，</w:t>
      </w:r>
      <w:r>
        <w:rPr>
          <w:rFonts w:hint="eastAsia" w:asciiTheme="minorEastAsia" w:hAnsiTheme="minorEastAsia" w:eastAsiaTheme="minorEastAsia"/>
        </w:rPr>
        <w:t>若国家或生产厂家对该设备质量保证期的规定高于本项目要求，则按国家或生产厂家的规定执行。</w:t>
      </w:r>
    </w:p>
    <w:p>
      <w:pPr>
        <w:widowControl/>
        <w:spacing w:line="360" w:lineRule="auto"/>
        <w:ind w:firstLine="240"/>
        <w:jc w:val="left"/>
        <w:rPr>
          <w:rFonts w:cs="宋体" w:asciiTheme="minorEastAsia" w:hAnsiTheme="minorEastAsia" w:eastAsiaTheme="minorEastAsia"/>
          <w:bCs/>
          <w:szCs w:val="21"/>
        </w:rPr>
      </w:pPr>
      <w:r>
        <w:rPr>
          <w:rFonts w:cs="宋体" w:asciiTheme="minorEastAsia" w:hAnsiTheme="minorEastAsia" w:eastAsiaTheme="minorEastAsia"/>
          <w:bCs/>
          <w:szCs w:val="21"/>
        </w:rPr>
        <w:t>4</w:t>
      </w:r>
      <w:r>
        <w:rPr>
          <w:rFonts w:hint="eastAsia" w:cs="宋体" w:asciiTheme="minorEastAsia" w:hAnsiTheme="minorEastAsia" w:eastAsiaTheme="minorEastAsia"/>
          <w:bCs/>
          <w:szCs w:val="21"/>
        </w:rPr>
        <w:t>、质保期内供应商提供“包退、包换、包修”的质量“三包”服务，一切维修费用、备品备件费用均由供应商免费提供。</w:t>
      </w:r>
    </w:p>
    <w:p>
      <w:pPr>
        <w:widowControl/>
        <w:spacing w:line="360" w:lineRule="auto"/>
        <w:ind w:firstLine="240"/>
        <w:jc w:val="left"/>
        <w:rPr>
          <w:rFonts w:cs="宋体" w:asciiTheme="minorEastAsia" w:hAnsiTheme="minorEastAsia" w:eastAsiaTheme="minorEastAsia"/>
          <w:szCs w:val="21"/>
        </w:rPr>
      </w:pPr>
      <w:r>
        <w:rPr>
          <w:rFonts w:hint="eastAsia" w:cs="宋体" w:asciiTheme="minorEastAsia" w:hAnsiTheme="minorEastAsia" w:eastAsiaTheme="minorEastAsia"/>
          <w:szCs w:val="21"/>
        </w:rPr>
        <w:t>5、投保期内，供应商提供技术支持和指导，故障情况下的现场问题解决，包括但不限于兼容性问题的微码升级、固件升级等。</w:t>
      </w:r>
    </w:p>
    <w:p>
      <w:pPr>
        <w:widowControl/>
        <w:spacing w:line="360" w:lineRule="auto"/>
        <w:ind w:firstLine="240"/>
        <w:jc w:val="left"/>
        <w:rPr>
          <w:rFonts w:hint="eastAsia" w:cs="宋体" w:asciiTheme="minorEastAsia" w:hAnsiTheme="minorEastAsia" w:eastAsiaTheme="minorEastAsia"/>
          <w:bCs/>
          <w:szCs w:val="21"/>
        </w:rPr>
      </w:pPr>
      <w:r>
        <w:rPr>
          <w:rFonts w:asciiTheme="minorEastAsia" w:hAnsiTheme="minorEastAsia" w:eastAsiaTheme="minorEastAsia"/>
        </w:rPr>
        <w:t>6</w:t>
      </w:r>
      <w:r>
        <w:rPr>
          <w:rFonts w:hint="eastAsia" w:asciiTheme="minorEastAsia" w:hAnsiTheme="minorEastAsia" w:eastAsiaTheme="minorEastAsia"/>
        </w:rPr>
        <w:t>、售后服务响应时间：</w:t>
      </w:r>
      <w:r>
        <w:rPr>
          <w:rFonts w:asciiTheme="minorEastAsia" w:hAnsiTheme="minorEastAsia" w:eastAsiaTheme="minorEastAsia"/>
        </w:rPr>
        <w:t>供应商应提供</w:t>
      </w:r>
      <w:r>
        <w:rPr>
          <w:rFonts w:hint="eastAsia" w:asciiTheme="minorEastAsia" w:hAnsiTheme="minorEastAsia" w:eastAsiaTheme="minorEastAsia"/>
        </w:rPr>
        <w:t>7*</w:t>
      </w:r>
      <w:r>
        <w:rPr>
          <w:rFonts w:asciiTheme="minorEastAsia" w:hAnsiTheme="minorEastAsia" w:eastAsiaTheme="minorEastAsia"/>
        </w:rPr>
        <w:t>8</w:t>
      </w:r>
      <w:r>
        <w:rPr>
          <w:rFonts w:hint="eastAsia" w:asciiTheme="minorEastAsia" w:hAnsiTheme="minorEastAsia" w:eastAsiaTheme="minorEastAsia"/>
        </w:rPr>
        <w:t>小时</w:t>
      </w:r>
      <w:r>
        <w:rPr>
          <w:rFonts w:asciiTheme="minorEastAsia" w:hAnsiTheme="minorEastAsia" w:eastAsiaTheme="minorEastAsia"/>
        </w:rPr>
        <w:t>的技术咨询和故障受理服务，</w:t>
      </w:r>
      <w:r>
        <w:rPr>
          <w:rFonts w:cs="宋体" w:asciiTheme="minorEastAsia" w:hAnsiTheme="minorEastAsia" w:eastAsiaTheme="minorEastAsia"/>
          <w:szCs w:val="21"/>
        </w:rPr>
        <w:t>在</w:t>
      </w:r>
      <w:r>
        <w:rPr>
          <w:rFonts w:hint="eastAsia" w:cs="宋体" w:asciiTheme="minorEastAsia" w:hAnsiTheme="minorEastAsia" w:eastAsiaTheme="minorEastAsia"/>
          <w:szCs w:val="21"/>
        </w:rPr>
        <w:t>质保</w:t>
      </w:r>
      <w:r>
        <w:rPr>
          <w:rFonts w:cs="宋体" w:asciiTheme="minorEastAsia" w:hAnsiTheme="minorEastAsia" w:eastAsiaTheme="minorEastAsia"/>
          <w:szCs w:val="21"/>
        </w:rPr>
        <w:t>期内，</w:t>
      </w:r>
      <w:r>
        <w:rPr>
          <w:rFonts w:cs="宋体" w:asciiTheme="minorEastAsia" w:hAnsiTheme="minorEastAsia" w:eastAsiaTheme="minorEastAsia"/>
          <w:bCs/>
          <w:szCs w:val="21"/>
        </w:rPr>
        <w:t>供应商响应时间</w:t>
      </w:r>
      <w:r>
        <w:rPr>
          <w:rFonts w:hint="eastAsia" w:cs="宋体" w:asciiTheme="minorEastAsia" w:hAnsiTheme="minorEastAsia" w:eastAsiaTheme="minorEastAsia"/>
          <w:bCs/>
          <w:szCs w:val="21"/>
        </w:rPr>
        <w:t>为30分</w:t>
      </w:r>
      <w:r>
        <w:rPr>
          <w:rFonts w:cs="宋体" w:asciiTheme="minorEastAsia" w:hAnsiTheme="minorEastAsia" w:eastAsiaTheme="minorEastAsia"/>
          <w:bCs/>
          <w:szCs w:val="21"/>
        </w:rPr>
        <w:t>钟</w:t>
      </w:r>
      <w:r>
        <w:rPr>
          <w:rFonts w:hint="eastAsia" w:cs="宋体" w:asciiTheme="minorEastAsia" w:hAnsiTheme="minorEastAsia" w:eastAsiaTheme="minorEastAsia"/>
          <w:bCs/>
          <w:szCs w:val="21"/>
        </w:rPr>
        <w:t>内</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若确需</w:t>
      </w:r>
      <w:r>
        <w:rPr>
          <w:rFonts w:cs="宋体" w:asciiTheme="minorEastAsia" w:hAnsiTheme="minorEastAsia" w:eastAsiaTheme="minorEastAsia"/>
          <w:bCs/>
          <w:szCs w:val="21"/>
        </w:rPr>
        <w:t>到达现场</w:t>
      </w:r>
      <w:r>
        <w:rPr>
          <w:rFonts w:hint="eastAsia" w:cs="宋体" w:asciiTheme="minorEastAsia" w:hAnsiTheme="minorEastAsia" w:eastAsiaTheme="minorEastAsia"/>
          <w:bCs/>
          <w:szCs w:val="21"/>
        </w:rPr>
        <w:t>处理的，到达现场</w:t>
      </w:r>
      <w:r>
        <w:rPr>
          <w:rFonts w:cs="宋体" w:asciiTheme="minorEastAsia" w:hAnsiTheme="minorEastAsia" w:eastAsiaTheme="minorEastAsia"/>
          <w:bCs/>
          <w:szCs w:val="21"/>
        </w:rPr>
        <w:t>时间为24</w:t>
      </w:r>
      <w:r>
        <w:rPr>
          <w:rFonts w:hint="eastAsia" w:cs="宋体" w:asciiTheme="minorEastAsia" w:hAnsiTheme="minorEastAsia" w:eastAsiaTheme="minorEastAsia"/>
          <w:bCs/>
          <w:szCs w:val="21"/>
        </w:rPr>
        <w:t>小时内。</w:t>
      </w:r>
    </w:p>
    <w:p>
      <w:pPr>
        <w:widowControl/>
        <w:spacing w:line="360" w:lineRule="auto"/>
        <w:ind w:firstLine="240"/>
        <w:jc w:val="lef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7、安装调试期间，不能影响医院网络系统的正常使用，否则造成的一切责任事故由供应商负责。</w:t>
      </w:r>
    </w:p>
    <w:p>
      <w:pPr>
        <w:widowControl/>
        <w:spacing w:line="360" w:lineRule="auto"/>
        <w:ind w:left="2048" w:hanging="2048"/>
        <w:jc w:val="left"/>
        <w:rPr>
          <w:rFonts w:cs="宋体" w:asciiTheme="minorEastAsia" w:hAnsiTheme="minorEastAsia" w:eastAsiaTheme="minorEastAsia"/>
          <w:szCs w:val="21"/>
        </w:rPr>
      </w:pPr>
      <w:r>
        <w:rPr>
          <w:rFonts w:hint="eastAsia"/>
          <w:b/>
          <w:sz w:val="24"/>
        </w:rPr>
        <w:t>五、验收与结算</w:t>
      </w:r>
    </w:p>
    <w:p>
      <w:pPr>
        <w:widowControl/>
        <w:spacing w:line="360" w:lineRule="auto"/>
        <w:ind w:firstLine="24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1、供应商将货物送到采购人指定地点，安装调试后按国家相关标准、行业标准及项目要求进行验收</w:t>
      </w:r>
      <w:r>
        <w:rPr>
          <w:rFonts w:cs="宋体" w:asciiTheme="minorEastAsia" w:hAnsiTheme="minorEastAsia" w:eastAsiaTheme="minorEastAsia"/>
          <w:bCs/>
          <w:szCs w:val="21"/>
        </w:rPr>
        <w:t>。</w:t>
      </w:r>
    </w:p>
    <w:p>
      <w:pPr>
        <w:widowControl/>
        <w:spacing w:line="360" w:lineRule="auto"/>
        <w:ind w:firstLine="24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2、供应商需将所有设备的用户手册、保修手册、有关单证资料及配备件、随机工具等交付给采购人。</w:t>
      </w:r>
    </w:p>
    <w:p>
      <w:pPr>
        <w:widowControl/>
        <w:spacing w:line="360" w:lineRule="auto"/>
        <w:ind w:firstLine="24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3、供应商须提供免费的培训服务，直接采购人熟悉设备操作及日常保养为止。</w:t>
      </w:r>
    </w:p>
    <w:p>
      <w:pPr>
        <w:widowControl/>
        <w:spacing w:line="360" w:lineRule="auto"/>
        <w:ind w:firstLine="240"/>
        <w:jc w:val="lef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4、项目</w:t>
      </w:r>
      <w:r>
        <w:rPr>
          <w:rFonts w:cs="宋体" w:asciiTheme="minorEastAsia" w:hAnsiTheme="minorEastAsia" w:eastAsiaTheme="minorEastAsia"/>
          <w:bCs/>
          <w:szCs w:val="21"/>
        </w:rPr>
        <w:t>验收合格，凭</w:t>
      </w:r>
      <w:r>
        <w:rPr>
          <w:rFonts w:hint="eastAsia" w:cs="宋体" w:asciiTheme="minorEastAsia" w:hAnsiTheme="minorEastAsia" w:eastAsiaTheme="minorEastAsia"/>
          <w:bCs/>
          <w:szCs w:val="21"/>
        </w:rPr>
        <w:t>供应商</w:t>
      </w:r>
      <w:r>
        <w:rPr>
          <w:rFonts w:cs="宋体" w:asciiTheme="minorEastAsia" w:hAnsiTheme="minorEastAsia" w:eastAsiaTheme="minorEastAsia"/>
          <w:bCs/>
          <w:szCs w:val="21"/>
        </w:rPr>
        <w:t>开具的全额发票</w:t>
      </w:r>
      <w:r>
        <w:rPr>
          <w:rFonts w:hint="eastAsia" w:cs="宋体" w:asciiTheme="minorEastAsia" w:hAnsiTheme="minorEastAsia" w:eastAsiaTheme="minorEastAsia"/>
          <w:bCs/>
          <w:szCs w:val="21"/>
        </w:rPr>
        <w:t>和验收资料</w:t>
      </w:r>
      <w:r>
        <w:rPr>
          <w:rFonts w:cs="宋体" w:asciiTheme="minorEastAsia" w:hAnsiTheme="minorEastAsia" w:eastAsiaTheme="minorEastAsia"/>
          <w:bCs/>
          <w:szCs w:val="21"/>
        </w:rPr>
        <w:t>，</w:t>
      </w:r>
      <w:r>
        <w:rPr>
          <w:rFonts w:hint="eastAsia" w:cs="宋体" w:asciiTheme="minorEastAsia" w:hAnsiTheme="minorEastAsia" w:eastAsiaTheme="minorEastAsia"/>
          <w:bCs/>
          <w:szCs w:val="21"/>
        </w:rPr>
        <w:t>采购</w:t>
      </w:r>
      <w:r>
        <w:rPr>
          <w:rFonts w:cs="宋体" w:asciiTheme="minorEastAsia" w:hAnsiTheme="minorEastAsia" w:eastAsiaTheme="minorEastAsia"/>
          <w:bCs/>
          <w:szCs w:val="21"/>
        </w:rPr>
        <w:t>人于60</w:t>
      </w:r>
      <w:r>
        <w:rPr>
          <w:rFonts w:hint="eastAsia" w:cs="宋体" w:asciiTheme="minorEastAsia" w:hAnsiTheme="minorEastAsia" w:eastAsiaTheme="minorEastAsia"/>
          <w:bCs/>
          <w:szCs w:val="21"/>
        </w:rPr>
        <w:t>个自然日</w:t>
      </w:r>
      <w:r>
        <w:rPr>
          <w:rFonts w:cs="宋体" w:asciiTheme="minorEastAsia" w:hAnsiTheme="minorEastAsia" w:eastAsiaTheme="minorEastAsia"/>
          <w:bCs/>
          <w:szCs w:val="21"/>
        </w:rPr>
        <w:t>内支付</w:t>
      </w:r>
      <w:r>
        <w:rPr>
          <w:rFonts w:hint="eastAsia" w:cs="宋体" w:asciiTheme="minorEastAsia" w:hAnsiTheme="minorEastAsia" w:eastAsiaTheme="minorEastAsia"/>
          <w:bCs/>
          <w:szCs w:val="21"/>
        </w:rPr>
        <w:t>合同款项；如中标人为中小企业，按中小企业相关法律法规或政策执行。</w:t>
      </w: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ind w:firstLine="240"/>
        <w:jc w:val="left"/>
        <w:rPr>
          <w:rFonts w:hint="eastAsia" w:cs="宋体" w:asciiTheme="minorEastAsia" w:hAnsiTheme="minorEastAsia" w:eastAsiaTheme="minorEastAsia"/>
          <w:bCs/>
          <w:szCs w:val="21"/>
        </w:rPr>
      </w:pPr>
    </w:p>
    <w:p>
      <w:pPr>
        <w:widowControl/>
        <w:spacing w:line="360" w:lineRule="auto"/>
        <w:jc w:val="left"/>
        <w:rPr>
          <w:rFonts w:hint="eastAsia" w:cs="宋体" w:asciiTheme="minorEastAsia" w:hAnsiTheme="minorEastAsia" w:eastAsiaTheme="minorEastAsia"/>
          <w:bCs/>
          <w:szCs w:val="21"/>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b/>
      </w:rPr>
      <w:fldChar w:fldCharType="begin"/>
    </w:r>
    <w:r>
      <w:rPr>
        <w:b/>
      </w:rPr>
      <w:instrText xml:space="preserve">PAGE</w:instrText>
    </w:r>
    <w:r>
      <w:rPr>
        <w:b/>
      </w:rPr>
      <w:fldChar w:fldCharType="separate"/>
    </w:r>
    <w:r>
      <w:rPr>
        <w:b/>
      </w:rPr>
      <w:t>3</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w:t>
    </w:r>
    <w:r>
      <w:rPr>
        <w:b/>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zODU0MjAwOWUxMThhZjYxMGI0NTJhNTUzOGIwOTIifQ=="/>
  </w:docVars>
  <w:rsids>
    <w:rsidRoot w:val="006E384B"/>
    <w:rsid w:val="00003A55"/>
    <w:rsid w:val="00012E8F"/>
    <w:rsid w:val="000156C9"/>
    <w:rsid w:val="00016EB9"/>
    <w:rsid w:val="000211E6"/>
    <w:rsid w:val="00026BFE"/>
    <w:rsid w:val="000401D3"/>
    <w:rsid w:val="00040417"/>
    <w:rsid w:val="0004115B"/>
    <w:rsid w:val="00050180"/>
    <w:rsid w:val="00050EE0"/>
    <w:rsid w:val="00060880"/>
    <w:rsid w:val="000609A5"/>
    <w:rsid w:val="00062BE2"/>
    <w:rsid w:val="0006361A"/>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53A10"/>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172A"/>
    <w:rsid w:val="0021556F"/>
    <w:rsid w:val="00223CFE"/>
    <w:rsid w:val="002251EF"/>
    <w:rsid w:val="00225831"/>
    <w:rsid w:val="00227BD2"/>
    <w:rsid w:val="00231BC5"/>
    <w:rsid w:val="002336B8"/>
    <w:rsid w:val="00235A33"/>
    <w:rsid w:val="00236BCD"/>
    <w:rsid w:val="00240214"/>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D5061"/>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77EE4"/>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3F6DB3"/>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E6124"/>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54FC"/>
    <w:rsid w:val="00646BA6"/>
    <w:rsid w:val="00651CE1"/>
    <w:rsid w:val="00655548"/>
    <w:rsid w:val="00671F8C"/>
    <w:rsid w:val="006720EC"/>
    <w:rsid w:val="006763AC"/>
    <w:rsid w:val="00676949"/>
    <w:rsid w:val="006804F5"/>
    <w:rsid w:val="00685327"/>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698"/>
    <w:rsid w:val="006C7AC3"/>
    <w:rsid w:val="006D0AFC"/>
    <w:rsid w:val="006D38F3"/>
    <w:rsid w:val="006D7F03"/>
    <w:rsid w:val="006E0CBB"/>
    <w:rsid w:val="006E384B"/>
    <w:rsid w:val="006F731D"/>
    <w:rsid w:val="00704928"/>
    <w:rsid w:val="00715B8E"/>
    <w:rsid w:val="00716EEE"/>
    <w:rsid w:val="00722CBB"/>
    <w:rsid w:val="00723A71"/>
    <w:rsid w:val="00723BD5"/>
    <w:rsid w:val="00723ECE"/>
    <w:rsid w:val="0072483F"/>
    <w:rsid w:val="007321A9"/>
    <w:rsid w:val="00743E57"/>
    <w:rsid w:val="00744AFD"/>
    <w:rsid w:val="007471F8"/>
    <w:rsid w:val="007510B3"/>
    <w:rsid w:val="007515AD"/>
    <w:rsid w:val="0075628B"/>
    <w:rsid w:val="00761A5E"/>
    <w:rsid w:val="00767744"/>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475EF"/>
    <w:rsid w:val="00856C53"/>
    <w:rsid w:val="00861917"/>
    <w:rsid w:val="00862A91"/>
    <w:rsid w:val="00862B90"/>
    <w:rsid w:val="00866831"/>
    <w:rsid w:val="00866C8F"/>
    <w:rsid w:val="00867370"/>
    <w:rsid w:val="00873CCE"/>
    <w:rsid w:val="00875E7D"/>
    <w:rsid w:val="008806A2"/>
    <w:rsid w:val="00887019"/>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459E"/>
    <w:rsid w:val="008E589B"/>
    <w:rsid w:val="008F4D06"/>
    <w:rsid w:val="008F4DBC"/>
    <w:rsid w:val="00902918"/>
    <w:rsid w:val="009122E4"/>
    <w:rsid w:val="009133F6"/>
    <w:rsid w:val="00930FC2"/>
    <w:rsid w:val="00941E85"/>
    <w:rsid w:val="00961ED6"/>
    <w:rsid w:val="00962B3E"/>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762EB"/>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45730"/>
    <w:rsid w:val="00B5114C"/>
    <w:rsid w:val="00B544D0"/>
    <w:rsid w:val="00B56304"/>
    <w:rsid w:val="00B5707D"/>
    <w:rsid w:val="00B61A0C"/>
    <w:rsid w:val="00B63772"/>
    <w:rsid w:val="00B65B96"/>
    <w:rsid w:val="00B66B43"/>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0250"/>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16EFF"/>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84CDC"/>
    <w:rsid w:val="00F9091B"/>
    <w:rsid w:val="00F94CD2"/>
    <w:rsid w:val="00F94FC6"/>
    <w:rsid w:val="00F95766"/>
    <w:rsid w:val="00FA3A49"/>
    <w:rsid w:val="00FA3A83"/>
    <w:rsid w:val="00FB544A"/>
    <w:rsid w:val="00FB5662"/>
    <w:rsid w:val="00FB7B39"/>
    <w:rsid w:val="00FC07E6"/>
    <w:rsid w:val="00FC541A"/>
    <w:rsid w:val="00FD7B94"/>
    <w:rsid w:val="00FE395D"/>
    <w:rsid w:val="00FE3AC0"/>
    <w:rsid w:val="00FE4547"/>
    <w:rsid w:val="00FF21C2"/>
    <w:rsid w:val="00FF5903"/>
    <w:rsid w:val="00FF638B"/>
    <w:rsid w:val="164232BD"/>
    <w:rsid w:val="2A597A4B"/>
    <w:rsid w:val="308E426C"/>
    <w:rsid w:val="33202FF1"/>
    <w:rsid w:val="3547008D"/>
    <w:rsid w:val="381F7624"/>
    <w:rsid w:val="4B7223DD"/>
    <w:rsid w:val="5C7727E9"/>
    <w:rsid w:val="61960834"/>
    <w:rsid w:val="6334043F"/>
    <w:rsid w:val="73A23CF3"/>
    <w:rsid w:val="74014D3F"/>
    <w:rsid w:val="79805345"/>
  </w:rsids>
  <m:mathPr>
    <m:lMargin m:val="0"/>
    <m:mathFont m:val="Cambria Math"/>
    <m:rMargin m:val="0"/>
    <m:wrapIndent m:val="1440"/>
    <m:brkBin m:val="before"/>
    <m:brkBinSub m:val="--"/>
    <m:defJc m:val="centerGroup"/>
    <m:intLim m:val="subSup"/>
    <m:naryLim m:val="undOvr"/>
    <m:smallFrac m:val=""/>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5"/>
    <w:qFormat/>
    <w:uiPriority w:val="99"/>
    <w:pPr>
      <w:keepNext/>
      <w:keepLines/>
      <w:spacing w:before="260" w:after="260" w:line="416" w:lineRule="auto"/>
      <w:outlineLvl w:val="2"/>
    </w:pPr>
    <w:rPr>
      <w:b/>
      <w:bCs/>
      <w:sz w:val="32"/>
      <w:szCs w:val="32"/>
    </w:rPr>
  </w:style>
  <w:style w:type="paragraph" w:styleId="5">
    <w:name w:val="heading 4"/>
    <w:basedOn w:val="1"/>
    <w:next w:val="1"/>
    <w:link w:val="16"/>
    <w:qFormat/>
    <w:uiPriority w:val="99"/>
    <w:pPr>
      <w:keepNext/>
      <w:keepLines/>
      <w:spacing w:before="280" w:after="290" w:line="376" w:lineRule="auto"/>
      <w:outlineLvl w:val="3"/>
    </w:pPr>
    <w:rPr>
      <w:rFonts w:ascii="Cambria" w:hAnsi="Cambria"/>
      <w:b/>
      <w:bCs/>
      <w:sz w:val="28"/>
      <w:szCs w:val="28"/>
    </w:rPr>
  </w:style>
  <w:style w:type="character" w:default="1" w:styleId="10">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6">
    <w:name w:val="Date"/>
    <w:basedOn w:val="1"/>
    <w:next w:val="1"/>
    <w:link w:val="17"/>
    <w:semiHidden/>
    <w:qFormat/>
    <w:uiPriority w:val="99"/>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szCs w:val="24"/>
    </w:rPr>
  </w:style>
  <w:style w:type="table" w:styleId="12">
    <w:name w:val="Table Grid"/>
    <w:basedOn w:val="1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3">
    <w:name w:val="标题 1 字符"/>
    <w:link w:val="2"/>
    <w:locked/>
    <w:uiPriority w:val="99"/>
    <w:rPr>
      <w:rFonts w:cs="Times New Roman"/>
      <w:b/>
      <w:bCs/>
      <w:kern w:val="44"/>
      <w:sz w:val="44"/>
      <w:szCs w:val="44"/>
    </w:rPr>
  </w:style>
  <w:style w:type="character" w:customStyle="1" w:styleId="14">
    <w:name w:val="标题 2 字符"/>
    <w:link w:val="3"/>
    <w:qFormat/>
    <w:locked/>
    <w:uiPriority w:val="99"/>
    <w:rPr>
      <w:rFonts w:ascii="Cambria" w:hAnsi="Cambria" w:eastAsia="宋体" w:cs="Times New Roman"/>
      <w:b/>
      <w:bCs/>
      <w:sz w:val="32"/>
      <w:szCs w:val="32"/>
    </w:rPr>
  </w:style>
  <w:style w:type="character" w:customStyle="1" w:styleId="15">
    <w:name w:val="标题 3 字符"/>
    <w:link w:val="4"/>
    <w:qFormat/>
    <w:locked/>
    <w:uiPriority w:val="99"/>
    <w:rPr>
      <w:rFonts w:cs="Times New Roman"/>
      <w:b/>
      <w:bCs/>
      <w:sz w:val="32"/>
      <w:szCs w:val="32"/>
    </w:rPr>
  </w:style>
  <w:style w:type="character" w:customStyle="1" w:styleId="16">
    <w:name w:val="标题 4 字符"/>
    <w:link w:val="5"/>
    <w:qFormat/>
    <w:locked/>
    <w:uiPriority w:val="99"/>
    <w:rPr>
      <w:rFonts w:ascii="Cambria" w:hAnsi="Cambria" w:eastAsia="宋体" w:cs="Times New Roman"/>
      <w:b/>
      <w:bCs/>
      <w:sz w:val="28"/>
      <w:szCs w:val="28"/>
    </w:rPr>
  </w:style>
  <w:style w:type="character" w:customStyle="1" w:styleId="17">
    <w:name w:val="日期 字符"/>
    <w:link w:val="6"/>
    <w:semiHidden/>
    <w:qFormat/>
    <w:locked/>
    <w:uiPriority w:val="99"/>
    <w:rPr>
      <w:rFonts w:cs="Times New Roman"/>
    </w:rPr>
  </w:style>
  <w:style w:type="character" w:customStyle="1" w:styleId="18">
    <w:name w:val="页脚 字符"/>
    <w:link w:val="7"/>
    <w:qFormat/>
    <w:locked/>
    <w:uiPriority w:val="99"/>
    <w:rPr>
      <w:rFonts w:cs="Times New Roman"/>
      <w:sz w:val="18"/>
      <w:szCs w:val="18"/>
    </w:rPr>
  </w:style>
  <w:style w:type="character" w:customStyle="1" w:styleId="19">
    <w:name w:val="页眉 字符"/>
    <w:link w:val="8"/>
    <w:semiHidden/>
    <w:qFormat/>
    <w:locked/>
    <w:uiPriority w:val="99"/>
    <w:rPr>
      <w:rFonts w:cs="Times New Roman"/>
      <w:sz w:val="18"/>
      <w:szCs w:val="18"/>
    </w:rPr>
  </w:style>
  <w:style w:type="paragraph" w:customStyle="1" w:styleId="20">
    <w:name w:val="列表段落1"/>
    <w:basedOn w:val="1"/>
    <w:qFormat/>
    <w:uiPriority w:val="99"/>
    <w:pPr>
      <w:ind w:firstLine="420" w:firstLineChars="200"/>
    </w:pPr>
  </w:style>
  <w:style w:type="character" w:customStyle="1" w:styleId="21">
    <w:name w:val="font41"/>
    <w:basedOn w:val="10"/>
    <w:qFormat/>
    <w:uiPriority w:val="0"/>
    <w:rPr>
      <w:rFonts w:ascii="Calibri" w:hAnsi="Calibri" w:cs="Calibri"/>
      <w:color w:val="000000"/>
      <w:sz w:val="21"/>
      <w:szCs w:val="21"/>
      <w:u w:val="none"/>
    </w:rPr>
  </w:style>
  <w:style w:type="character" w:customStyle="1" w:styleId="22">
    <w:name w:val="font31"/>
    <w:basedOn w:val="10"/>
    <w:qFormat/>
    <w:uiPriority w:val="0"/>
    <w:rPr>
      <w:rFonts w:hint="eastAsia" w:ascii="宋体" w:hAnsi="宋体" w:eastAsia="宋体" w:cs="宋体"/>
      <w:color w:val="000000"/>
      <w:sz w:val="20"/>
      <w:szCs w:val="20"/>
      <w:u w:val="none"/>
    </w:rPr>
  </w:style>
  <w:style w:type="paragraph" w:customStyle="1" w:styleId="23">
    <w:name w:val="List Paragraph"/>
    <w:basedOn w:val="1"/>
    <w:qFormat/>
    <w:uiPriority w:val="34"/>
    <w:pPr>
      <w:ind w:firstLine="420" w:firstLineChars="200"/>
    </w:pPr>
    <w:rPr>
      <w:rFonts w:asciiTheme="minorHAnsi" w:hAnsiTheme="minorHAnsi" w:eastAsiaTheme="minorEastAsia" w:cstheme="minorBid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371</Words>
  <Characters>2115</Characters>
  <Lines>17</Lines>
  <Paragraphs>4</Paragraphs>
  <ScaleCrop>false</ScaleCrop>
  <LinksUpToDate>false</LinksUpToDate>
  <CharactersWithSpaces>2482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2024-08-19T08:26:00Z</dcterms:created>
  <dc:creator>xz1</dc:creator>
  <cp:lastModifiedBy>黄焕炜</cp:lastModifiedBy>
  <cp:lastPrinted>2023-12-14T10:29:00Z</cp:lastPrinted>
  <dcterms:modified xsi:type="dcterms:W3CDTF">2024-12-24T00:52:31Z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2C75BE3C294C4FBD99F1D1892FDCF162</vt:lpwstr>
  </property>
</Properties>
</file>