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tbl>
      <w:tblPr>
        <w:tblStyle w:val="7"/>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中山市中医院</w:t>
            </w:r>
            <w:r>
              <w:rPr>
                <w:rFonts w:hint="eastAsia" w:ascii="宋体" w:hAnsi="宋体" w:eastAsia="宋体" w:cs="宋体"/>
                <w:color w:val="000000"/>
                <w:kern w:val="0"/>
                <w:sz w:val="36"/>
                <w:szCs w:val="36"/>
              </w:rPr>
              <w:t>预麻间麻醉信息管理系统项目采购需求</w:t>
            </w:r>
            <w:bookmarkStart w:id="0" w:name="_GoBack"/>
            <w:bookmarkEnd w:id="0"/>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lang w:val="en-US" w:eastAsia="zh-CN"/>
              </w:rPr>
              <w:t>中山市中医院</w:t>
            </w:r>
            <w:r>
              <w:rPr>
                <w:rFonts w:hint="eastAsia" w:ascii="等线" w:hAnsi="等线" w:eastAsia="等线" w:cs="宋体"/>
                <w:color w:val="000000"/>
                <w:kern w:val="0"/>
                <w:sz w:val="22"/>
              </w:rPr>
              <w:t>预麻间麻醉信息管理系统项目</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ascii="等线" w:hAnsi="等线" w:eastAsia="等线" w:cs="宋体"/>
                <w:color w:val="000000"/>
                <w:kern w:val="0"/>
                <w:sz w:val="22"/>
              </w:rPr>
            </w:pPr>
            <w:r>
              <w:rPr>
                <w:rFonts w:hint="eastAsia" w:ascii="等线" w:hAnsi="等线" w:eastAsia="等线" w:cs="宋体"/>
                <w:color w:val="000000"/>
                <w:kern w:val="0"/>
                <w:sz w:val="22"/>
              </w:rPr>
              <w:t>麻醉科</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ascii="等线" w:hAnsi="等线" w:eastAsia="等线" w:cs="宋体"/>
                <w:color w:val="000000"/>
                <w:kern w:val="0"/>
                <w:sz w:val="22"/>
              </w:rPr>
            </w:pPr>
            <w:r>
              <w:rPr>
                <w:rFonts w:hint="eastAsia" w:ascii="等线" w:hAnsi="等线" w:eastAsia="等线" w:cs="宋体"/>
                <w:color w:val="000000"/>
                <w:kern w:val="0"/>
                <w:sz w:val="22"/>
              </w:rPr>
              <w:t>25万元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6951691">
            <w:r>
              <w:rPr>
                <w:rFonts w:hint="eastAsia"/>
              </w:rPr>
              <w:t>1、能够接收手麻系统当天已排程手术，并生成待手术列表，麻醉医生可以在该列表中发起预麻申请。</w:t>
            </w:r>
          </w:p>
          <w:p w14:paraId="10DA7C86">
            <w:r>
              <w:rPr>
                <w:rFonts w:hint="eastAsia"/>
              </w:rPr>
              <w:t>2、预麻申请单包含患者基本信息，拟完成预麻操作，患者特殊情况及备注信息。</w:t>
            </w:r>
          </w:p>
          <w:p w14:paraId="67DC0BB0">
            <w:pPr>
              <w:rPr>
                <w:color w:val="auto"/>
              </w:rPr>
            </w:pPr>
            <w:r>
              <w:rPr>
                <w:rFonts w:hint="eastAsia"/>
              </w:rPr>
              <w:t>3、预麻申请单发送后传输至预麻间麻醉信息管理系统（后简称</w:t>
            </w:r>
            <w:r>
              <w:rPr>
                <w:rFonts w:hint="eastAsia"/>
                <w:color w:val="auto"/>
              </w:rPr>
              <w:t>预麻系统）。</w:t>
            </w:r>
          </w:p>
          <w:p w14:paraId="5D8E1E3E">
            <w:pPr>
              <w:rPr>
                <w:color w:val="auto"/>
              </w:rPr>
            </w:pPr>
            <w:r>
              <w:rPr>
                <w:rFonts w:hint="eastAsia"/>
                <w:color w:val="auto"/>
              </w:rPr>
              <w:t>4、预麻间麻醉信息管理系统以床位的形式进行管理，预麻间设有6个床位（系统不设床位使用限制），已发送的预麻病例在待预麻清单中，患者入预麻间后拉入相对应的床位，并生成预麻记录单。</w:t>
            </w:r>
          </w:p>
          <w:p w14:paraId="2E99AE98">
            <w:pPr>
              <w:rPr>
                <w:color w:val="auto"/>
              </w:rPr>
            </w:pPr>
            <w:r>
              <w:rPr>
                <w:rFonts w:hint="eastAsia"/>
                <w:color w:val="auto"/>
              </w:rPr>
              <w:t>5、预麻间麻醉信息管理系统能够自动采集监护仪的生命体征，并在预麻记录单上形成对应的生命体征图表。</w:t>
            </w:r>
          </w:p>
          <w:p w14:paraId="62E40472">
            <w:pPr>
              <w:rPr>
                <w:color w:val="auto"/>
              </w:rPr>
            </w:pPr>
            <w:r>
              <w:rPr>
                <w:rFonts w:hint="eastAsia"/>
                <w:color w:val="auto"/>
              </w:rPr>
              <w:t>6、预麻记录单能录入我院住院信息系统中的标准药物字典、事件字典、诊断及手术字典、器械字典。</w:t>
            </w:r>
          </w:p>
          <w:p w14:paraId="201A20D7">
            <w:pPr>
              <w:rPr>
                <w:color w:val="auto"/>
              </w:rPr>
            </w:pPr>
            <w:r>
              <w:rPr>
                <w:rFonts w:hint="eastAsia"/>
                <w:color w:val="auto"/>
              </w:rPr>
              <w:t>7、预麻系统能对接手麻系统，将预麻间期间的生命体征、用药、事件回传至麻醉记录单，作为围术期记录的一部分，可以满足手术收费记录要求。</w:t>
            </w:r>
          </w:p>
          <w:p w14:paraId="1EC2DD8C">
            <w:pPr>
              <w:rPr>
                <w:color w:val="auto"/>
              </w:rPr>
            </w:pPr>
            <w:r>
              <w:rPr>
                <w:rFonts w:hint="eastAsia"/>
                <w:color w:val="auto"/>
              </w:rPr>
              <w:t>8、预麻记录单包含关键时间节点：入预麻间、麻醉开始、出预麻间，并能将关键时间节点回传至麻醉记录单。</w:t>
            </w:r>
          </w:p>
          <w:p w14:paraId="6C847480">
            <w:pPr>
              <w:rPr>
                <w:color w:val="auto"/>
              </w:rPr>
            </w:pPr>
            <w:r>
              <w:rPr>
                <w:rFonts w:hint="eastAsia"/>
                <w:color w:val="auto"/>
              </w:rPr>
              <w:t>9、预麻后通知模块：患者预麻完成后能通知手术间麻醉医生及巡回护士。</w:t>
            </w:r>
          </w:p>
          <w:p w14:paraId="226D12A6">
            <w:pPr>
              <w:rPr>
                <w:color w:val="auto"/>
              </w:rPr>
            </w:pPr>
            <w:r>
              <w:rPr>
                <w:rFonts w:hint="eastAsia"/>
                <w:color w:val="auto"/>
              </w:rPr>
              <w:t>10、预麻记录单支持CA签名。</w:t>
            </w:r>
          </w:p>
          <w:p w14:paraId="719A76D9">
            <w:pPr>
              <w:rPr>
                <w:color w:val="auto"/>
              </w:rPr>
            </w:pPr>
            <w:r>
              <w:rPr>
                <w:rFonts w:hint="eastAsia"/>
                <w:color w:val="auto"/>
              </w:rPr>
              <w:t>11、预麻系统能对接我院住院信息系统及手麻系统，获取到待手术患者状态（是否已送达手术室），能对患者在手术室的状态及位置进行闭环管理。</w:t>
            </w:r>
          </w:p>
          <w:p w14:paraId="328A72A3">
            <w:pPr>
              <w:rPr>
                <w:color w:val="auto"/>
              </w:rPr>
            </w:pPr>
            <w:r>
              <w:rPr>
                <w:rFonts w:hint="eastAsia"/>
                <w:color w:val="auto"/>
              </w:rPr>
              <w:t>12、预麻前核查模块：对接我院住院信息系统及手麻系统，对患者信息、手术信息、患者签字情况、有无备血及其他特殊情况，自动生成预麻前核查清单。</w:t>
            </w:r>
          </w:p>
          <w:p w14:paraId="134F9D7B">
            <w:pPr>
              <w:rPr>
                <w:color w:val="auto"/>
              </w:rPr>
            </w:pPr>
            <w:r>
              <w:rPr>
                <w:rFonts w:hint="eastAsia"/>
                <w:color w:val="auto"/>
              </w:rPr>
              <w:t>13、抗生素管理模块：能够获取术中抗生素医嘱，获取执行时间、执行人，并能回传至手麻系统指定文书，可以满足我院合理用药系统对抗生素管理的要求。</w:t>
            </w:r>
          </w:p>
          <w:p w14:paraId="388B38E5">
            <w:pPr>
              <w:rPr>
                <w:color w:val="auto"/>
              </w:rPr>
            </w:pPr>
            <w:r>
              <w:rPr>
                <w:rFonts w:hint="eastAsia"/>
                <w:color w:val="auto"/>
              </w:rPr>
              <w:t>14、预麻后交接记录模块，能将预麻间的特殊情况回传至手麻系统麻醉记录单供麻醉医生参考。</w:t>
            </w:r>
          </w:p>
          <w:p w14:paraId="0DD3BA24">
            <w:pPr>
              <w:rPr>
                <w:color w:val="auto"/>
              </w:rPr>
            </w:pPr>
            <w:r>
              <w:rPr>
                <w:rFonts w:hint="eastAsia"/>
                <w:color w:val="auto"/>
              </w:rPr>
              <w:t>15、预麻记录单支持模板录入事件及用药。</w:t>
            </w:r>
          </w:p>
          <w:p w14:paraId="4BE44777">
            <w:r>
              <w:rPr>
                <w:rFonts w:hint="eastAsia"/>
                <w:color w:val="auto"/>
              </w:rPr>
              <w:t>16、根据需求产生对应的质控统计报表。</w:t>
            </w:r>
          </w:p>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二、基本要求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1、投标人提供产品应满足采购人要求标准，包括但不限于如下标准：</w:t>
            </w:r>
          </w:p>
          <w:p w14:paraId="79A12B78">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（1）《电子病历系统功能应用水平分级评价方法及标准》六级以上</w:t>
            </w:r>
          </w:p>
          <w:p w14:paraId="3AE4A777">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（2）《医院信息互联互通标准化成熟度测评方案》四级甲等以上</w:t>
            </w:r>
          </w:p>
          <w:p w14:paraId="64F6962A">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（3）《医院智慧服务分级评估标准体系》三级以上</w:t>
            </w:r>
          </w:p>
          <w:p w14:paraId="26F17791">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（4）《医院智慧管理分级评估标准体系》三级以上</w:t>
            </w:r>
          </w:p>
          <w:p w14:paraId="2C1F8F6D">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（5）《信息安全技术网络安全等级保护基本要求》三级</w:t>
            </w:r>
          </w:p>
          <w:p w14:paraId="26C1C4F2">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（6）《医院信息系统基本功能规范》</w:t>
            </w:r>
          </w:p>
          <w:p w14:paraId="6A4D5A52">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（7）《中医医院信息系统基本功能规范》</w:t>
            </w:r>
          </w:p>
          <w:p w14:paraId="3A48E2DC">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（8）《全国医院信息化建设标准与规范》</w:t>
            </w:r>
          </w:p>
          <w:p w14:paraId="5C9DCCA7">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（9）《卫生系统电子认证服务规范》</w:t>
            </w:r>
          </w:p>
          <w:p w14:paraId="411136FE">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（10）《三级中医医院评审标准》</w:t>
            </w:r>
          </w:p>
          <w:p w14:paraId="3853C1C6">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（11）《信息安全技术个人信息安全规范》</w:t>
            </w:r>
          </w:p>
          <w:p w14:paraId="582E150F">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（12）所有系统能够按照相关标准（和/或甲方要求）由供应商免费接入医院信息集成平台。</w:t>
            </w:r>
          </w:p>
          <w:p w14:paraId="0132504B">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2.完全自主知识产权</w:t>
            </w:r>
            <w:r>
              <w:rPr>
                <w:rFonts w:hint="eastAsia" w:ascii="等线" w:hAnsi="等线" w:eastAsia="等线" w:cs="宋体"/>
                <w:color w:val="000000"/>
                <w:kern w:val="0"/>
                <w:sz w:val="22"/>
                <w:lang w:eastAsia="zh-CN"/>
              </w:rPr>
              <w:t>，</w:t>
            </w:r>
            <w:r>
              <w:rPr>
                <w:rFonts w:hint="eastAsia" w:ascii="等线" w:hAnsi="等线" w:eastAsia="等线" w:cs="宋体"/>
                <w:color w:val="000000"/>
                <w:kern w:val="0"/>
                <w:sz w:val="22"/>
              </w:rPr>
              <w:t>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1.本项目本项目为交钥匙工程，投标价应为人民币含税全包价，投标价格为固定价格，包括但不限于以下费用：</w:t>
            </w:r>
          </w:p>
          <w:p w14:paraId="7D0B4DE2">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（1）完整的产品软件、技术文件的费用、系统的设计、开发测试、安装调试技术服务费用及所发生相应的费用；</w:t>
            </w:r>
          </w:p>
          <w:p w14:paraId="5B3D9DBE">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（2）软件永久许可使用费；</w:t>
            </w:r>
          </w:p>
          <w:p w14:paraId="3808E502">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（3）免费维保期内的服务费用和升级改造费用；</w:t>
            </w:r>
          </w:p>
          <w:p w14:paraId="63E32FC0">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（4）系统培训、验收、售后服务、智慧医院建设目标测评所需的费用及相关服务等一切费用；</w:t>
            </w:r>
          </w:p>
          <w:p w14:paraId="000976ED">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（5）与医院信息系统间的接口开发、对接医院现有信息系统及日后智慧医院信息系统接入平台升级改造涉及的所有费用均由投标人支付，确保项目达到智慧项目目标，采购人不再支付任何其他费用；</w:t>
            </w:r>
          </w:p>
          <w:p w14:paraId="4322F86B">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widowControl/>
              <w:ind w:firstLine="440" w:firstLineChars="200"/>
              <w:jc w:val="left"/>
              <w:rPr>
                <w:rFonts w:ascii="等线" w:hAnsi="等线" w:eastAsia="等线" w:cs="宋体"/>
                <w:color w:val="000000"/>
                <w:kern w:val="0"/>
                <w:sz w:val="22"/>
              </w:rPr>
            </w:pPr>
            <w:r>
              <w:rPr>
                <w:rFonts w:hint="eastAsia" w:ascii="等线" w:hAnsi="等线" w:eastAsia="等线" w:cs="宋体"/>
                <w:color w:val="000000"/>
                <w:kern w:val="0"/>
                <w:sz w:val="22"/>
              </w:rPr>
              <w:t>（7）为完成本项目义务所需支付的其他费用。</w:t>
            </w:r>
          </w:p>
          <w:p w14:paraId="54AC408F">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2.免费维保期不少于2年，维保期结束后维保费用不超合同总价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rPr>
              <w:t>%。</w:t>
            </w:r>
          </w:p>
          <w:p w14:paraId="6E9E8555">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lang w:val="en-US" w:eastAsia="zh-CN"/>
              </w:rPr>
              <w:t>3.</w:t>
            </w:r>
            <w:r>
              <w:rPr>
                <w:rFonts w:hint="eastAsia" w:ascii="等线" w:hAnsi="等线" w:eastAsia="等线" w:cs="宋体"/>
                <w:color w:val="000000"/>
                <w:kern w:val="0"/>
                <w:sz w:val="22"/>
              </w:rPr>
              <w:t>投标人承诺向医院提供本项目上线的系统接口和本地定制开发部分的源代码及数据库结构说明、概要设计、详细设计、测试文档、发布和部署文档等相关文档，提供的源码需可单独编译和部署与上线系统版本一致。</w:t>
            </w:r>
          </w:p>
          <w:p w14:paraId="43AF14A3">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4.付款方式：</w:t>
            </w:r>
          </w:p>
          <w:p w14:paraId="6E21814F">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（1）收到中标供应商等额有效发票，15日内支付项目合同总额的</w:t>
            </w:r>
            <w:r>
              <w:rPr>
                <w:rFonts w:hint="eastAsia" w:ascii="等线" w:hAnsi="等线" w:eastAsia="等线" w:cs="宋体"/>
                <w:color w:val="000000"/>
                <w:kern w:val="0"/>
                <w:sz w:val="22"/>
                <w:lang w:val="en-US" w:eastAsia="zh-CN"/>
              </w:rPr>
              <w:t>30</w:t>
            </w:r>
            <w:r>
              <w:rPr>
                <w:rFonts w:hint="eastAsia" w:ascii="等线" w:hAnsi="等线" w:eastAsia="等线" w:cs="宋体"/>
                <w:color w:val="000000"/>
                <w:kern w:val="0"/>
                <w:sz w:val="22"/>
              </w:rPr>
              <w:t>%；</w:t>
            </w:r>
          </w:p>
          <w:p w14:paraId="61479F7D">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（2）系统正式上线并稳定运行满一个月，经双方签字确认《系统上线报告》，收到中标供应商等额有效发票后，15日内支付项目合同总额的</w:t>
            </w:r>
            <w:r>
              <w:rPr>
                <w:rFonts w:hint="eastAsia" w:ascii="等线" w:hAnsi="等线" w:eastAsia="等线" w:cs="宋体"/>
                <w:color w:val="000000"/>
                <w:kern w:val="0"/>
                <w:sz w:val="22"/>
                <w:lang w:val="en-US" w:eastAsia="zh-CN"/>
              </w:rPr>
              <w:t>30</w:t>
            </w:r>
            <w:r>
              <w:rPr>
                <w:rFonts w:hint="eastAsia" w:ascii="等线" w:hAnsi="等线" w:eastAsia="等线" w:cs="宋体"/>
                <w:color w:val="000000"/>
                <w:kern w:val="0"/>
                <w:sz w:val="22"/>
              </w:rPr>
              <w:t>%；</w:t>
            </w:r>
          </w:p>
          <w:p w14:paraId="6E9B4CAE">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（3）根据项目验收要求完成验收后，经双方签字确认《系统验收报告》，收到中标供应商等额有效发票后，15日内支付项目合同总额的</w:t>
            </w:r>
            <w:r>
              <w:rPr>
                <w:rFonts w:hint="eastAsia" w:ascii="等线" w:hAnsi="等线" w:eastAsia="等线" w:cs="宋体"/>
                <w:color w:val="000000"/>
                <w:kern w:val="0"/>
                <w:sz w:val="22"/>
                <w:lang w:val="en-US" w:eastAsia="zh-CN"/>
              </w:rPr>
              <w:t>4</w:t>
            </w:r>
            <w:r>
              <w:rPr>
                <w:rFonts w:hint="eastAsia" w:ascii="等线" w:hAnsi="等线" w:eastAsia="等线" w:cs="宋体"/>
                <w:color w:val="000000"/>
                <w:kern w:val="0"/>
                <w:sz w:val="22"/>
              </w:rPr>
              <w:t>0%。</w:t>
            </w:r>
          </w:p>
          <w:p w14:paraId="72BCC5E6">
            <w:pPr>
              <w:widowControl/>
              <w:ind w:firstLine="440" w:firstLineChars="200"/>
              <w:jc w:val="left"/>
              <w:rPr>
                <w:rFonts w:hint="eastAsia" w:ascii="等线" w:hAnsi="等线" w:eastAsia="等线" w:cs="宋体"/>
                <w:color w:val="000000"/>
                <w:kern w:val="0"/>
                <w:sz w:val="22"/>
              </w:rPr>
            </w:pPr>
            <w:r>
              <w:rPr>
                <w:rFonts w:hint="eastAsia" w:ascii="等线" w:hAnsi="等线" w:eastAsia="等线" w:cs="宋体"/>
                <w:color w:val="000000"/>
                <w:kern w:val="0"/>
                <w:sz w:val="22"/>
              </w:rPr>
              <w:t>（4）如项目发生合同融资，采购人应当将合同款项支付到合同约定收款账户。</w:t>
            </w: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14:paraId="4E7D628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2E7D"/>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9E2E95"/>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1572FC0"/>
    <w:rsid w:val="016519C1"/>
    <w:rsid w:val="02123AD6"/>
    <w:rsid w:val="036068E4"/>
    <w:rsid w:val="03E106D4"/>
    <w:rsid w:val="0C774C9E"/>
    <w:rsid w:val="0E285756"/>
    <w:rsid w:val="10945E1E"/>
    <w:rsid w:val="10AE4F80"/>
    <w:rsid w:val="1210605C"/>
    <w:rsid w:val="13A740BB"/>
    <w:rsid w:val="13B60AEE"/>
    <w:rsid w:val="156A53A0"/>
    <w:rsid w:val="15D942D4"/>
    <w:rsid w:val="1D596426"/>
    <w:rsid w:val="1DB91893"/>
    <w:rsid w:val="1E9F3AEB"/>
    <w:rsid w:val="1FA976C2"/>
    <w:rsid w:val="214B077B"/>
    <w:rsid w:val="280850E3"/>
    <w:rsid w:val="325F7DF7"/>
    <w:rsid w:val="32D57EA5"/>
    <w:rsid w:val="342A71FD"/>
    <w:rsid w:val="36D35EAB"/>
    <w:rsid w:val="3AC56A51"/>
    <w:rsid w:val="3B5D39DD"/>
    <w:rsid w:val="3B675F88"/>
    <w:rsid w:val="3D7D3613"/>
    <w:rsid w:val="3FEA3942"/>
    <w:rsid w:val="421E1A3B"/>
    <w:rsid w:val="44E346A3"/>
    <w:rsid w:val="462D5724"/>
    <w:rsid w:val="4B1D01E3"/>
    <w:rsid w:val="52C84ED8"/>
    <w:rsid w:val="55633DBF"/>
    <w:rsid w:val="56B05417"/>
    <w:rsid w:val="57CD4D3F"/>
    <w:rsid w:val="5A9F5B17"/>
    <w:rsid w:val="5BAC183B"/>
    <w:rsid w:val="6052306E"/>
    <w:rsid w:val="61045C75"/>
    <w:rsid w:val="61F415A9"/>
    <w:rsid w:val="624F4CCE"/>
    <w:rsid w:val="645760BC"/>
    <w:rsid w:val="64CA553F"/>
    <w:rsid w:val="65FB7383"/>
    <w:rsid w:val="67DA14DE"/>
    <w:rsid w:val="690A7BA1"/>
    <w:rsid w:val="6A2151A2"/>
    <w:rsid w:val="6CDF7672"/>
    <w:rsid w:val="6FD601DD"/>
    <w:rsid w:val="70700C31"/>
    <w:rsid w:val="71B07D4C"/>
    <w:rsid w:val="73306456"/>
    <w:rsid w:val="738A245F"/>
    <w:rsid w:val="742F2BB2"/>
    <w:rsid w:val="76A34845"/>
    <w:rsid w:val="76E77696"/>
    <w:rsid w:val="7BAE6AB2"/>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2476</Words>
  <Characters>2514</Characters>
  <Lines>17</Lines>
  <Paragraphs>4</Paragraphs>
  <TotalTime>0</TotalTime>
  <ScaleCrop>false</ScaleCrop>
  <LinksUpToDate>false</LinksUpToDate>
  <CharactersWithSpaces>2649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2025-02-25T02:18:11Z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ECDB40DA45B84910BE42A67C7FC6046D</vt:lpwstr>
  </property>
  <property fmtid="{D5CDD505-2E9C-101B-9397-08002B2CF9AE}" pid="4" name="KSOTemplateDocerSaveRecord">
    <vt:lpwstr>eyJoZGlkIjoiMzU1NDExYjZhN2I2NjM1MGU3OTY1OTUyYTRmNjU3NTMiLCJ1c2VySWQiOiI0MjE4NTY3MjkifQ==</vt:lpwstr>
  </property>
</Properties>
</file>