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b/>
          <w:sz w:val="32"/>
          <w:szCs w:val="32"/>
        </w:rPr>
      </w:pPr>
      <w:r>
        <w:rPr>
          <w:rFonts w:hint="eastAsia"/>
          <w:b/>
          <w:sz w:val="32"/>
          <w:szCs w:val="32"/>
        </w:rPr>
        <w:t>项目采购需求</w:t>
      </w:r>
    </w:p>
    <w:p>
      <w:pPr>
        <w:widowControl/>
        <w:jc w:val="left"/>
        <w:rPr>
          <w:sz w:val="24"/>
        </w:rPr>
      </w:pPr>
      <w:r>
        <w:rPr>
          <w:rFonts w:hint="eastAsia"/>
          <w:b/>
          <w:sz w:val="24"/>
        </w:rPr>
        <w:t>一、项目基本情况</w:t>
      </w:r>
    </w:p>
    <w:p>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1</w:t>
      </w:r>
      <w:r>
        <w:rPr>
          <w:rFonts w:hint="eastAsia" w:asciiTheme="minorEastAsia" w:hAnsiTheme="minorEastAsia" w:eastAsiaTheme="minorEastAsia"/>
        </w:rPr>
        <w:t>、项目名称：中山市中医院</w:t>
      </w:r>
      <w:r>
        <w:rPr>
          <w:rFonts w:hint="eastAsia" w:asciiTheme="minorEastAsia" w:hAnsiTheme="minorEastAsia" w:eastAsiaTheme="minorEastAsia"/>
          <w:lang w:val="en-US" w:eastAsia="zh-CN"/>
        </w:rPr>
        <w:t>IVC饲养笼具</w:t>
      </w:r>
      <w:r>
        <w:rPr>
          <w:rFonts w:asciiTheme="minorEastAsia" w:hAnsiTheme="minorEastAsia" w:eastAsiaTheme="minorEastAsia"/>
        </w:rPr>
        <w:t>采购</w:t>
      </w:r>
      <w:r>
        <w:rPr>
          <w:rFonts w:hint="eastAsia" w:asciiTheme="minorEastAsia" w:hAnsiTheme="minorEastAsia" w:eastAsiaTheme="minorEastAsia"/>
        </w:rPr>
        <w:t>项目</w:t>
      </w:r>
    </w:p>
    <w:p>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2</w:t>
      </w:r>
      <w:r>
        <w:rPr>
          <w:rFonts w:hint="eastAsia" w:asciiTheme="minorEastAsia" w:hAnsiTheme="minorEastAsia" w:eastAsiaTheme="minorEastAsia"/>
        </w:rPr>
        <w:t>、项目内容：为</w:t>
      </w:r>
      <w:r>
        <w:rPr>
          <w:rFonts w:hint="eastAsia" w:asciiTheme="minorEastAsia" w:hAnsiTheme="minorEastAsia" w:eastAsiaTheme="minorEastAsia"/>
          <w:lang w:eastAsia="zh-CN"/>
        </w:rPr>
        <w:t>保证转基因鼠的长期饲养，</w:t>
      </w:r>
      <w:r>
        <w:rPr>
          <w:rFonts w:hint="eastAsia" w:asciiTheme="minorEastAsia" w:hAnsiTheme="minorEastAsia" w:eastAsiaTheme="minorEastAsia"/>
        </w:rPr>
        <w:t>医院拟采购</w:t>
      </w:r>
      <w:r>
        <w:rPr>
          <w:rFonts w:hint="eastAsia" w:asciiTheme="minorEastAsia" w:hAnsiTheme="minorEastAsia" w:eastAsiaTheme="minorEastAsia"/>
          <w:lang w:eastAsia="zh-CN"/>
        </w:rPr>
        <w:t>一套智能型</w:t>
      </w:r>
      <w:r>
        <w:rPr>
          <w:rFonts w:hint="eastAsia" w:asciiTheme="minorEastAsia" w:hAnsiTheme="minorEastAsia" w:eastAsiaTheme="minorEastAsia"/>
          <w:lang w:val="en-US" w:eastAsia="zh-CN"/>
        </w:rPr>
        <w:t>IVC饲养笼具</w:t>
      </w:r>
      <w:r>
        <w:rPr>
          <w:rFonts w:hint="eastAsia" w:asciiTheme="minorEastAsia" w:hAnsiTheme="minorEastAsia" w:eastAsiaTheme="minorEastAsia"/>
        </w:rPr>
        <w:t>，</w:t>
      </w:r>
      <w:r>
        <w:rPr>
          <w:rFonts w:hint="eastAsia" w:asciiTheme="minorEastAsia" w:hAnsiTheme="minorEastAsia" w:eastAsiaTheme="minorEastAsia"/>
          <w:lang w:eastAsia="zh-CN"/>
        </w:rPr>
        <w:t>以</w:t>
      </w:r>
      <w:r>
        <w:rPr>
          <w:rFonts w:hint="eastAsia" w:asciiTheme="minorEastAsia" w:hAnsiTheme="minorEastAsia" w:eastAsiaTheme="minorEastAsia"/>
        </w:rPr>
        <w:t>满足</w:t>
      </w:r>
      <w:r>
        <w:rPr>
          <w:rFonts w:hint="eastAsia" w:asciiTheme="minorEastAsia" w:hAnsiTheme="minorEastAsia" w:eastAsiaTheme="minorEastAsia"/>
          <w:lang w:eastAsia="zh-CN"/>
        </w:rPr>
        <w:t>医院动物实验室的</w:t>
      </w:r>
      <w:r>
        <w:rPr>
          <w:rFonts w:hint="eastAsia" w:asciiTheme="minorEastAsia" w:hAnsiTheme="minorEastAsia" w:eastAsiaTheme="minorEastAsia"/>
        </w:rPr>
        <w:t>业务发展</w:t>
      </w:r>
      <w:r>
        <w:rPr>
          <w:rFonts w:hint="eastAsia" w:asciiTheme="minorEastAsia" w:hAnsiTheme="minorEastAsia" w:eastAsiaTheme="minorEastAsia"/>
          <w:lang w:eastAsia="zh-CN"/>
        </w:rPr>
        <w:t>需求</w:t>
      </w:r>
      <w:r>
        <w:rPr>
          <w:rFonts w:hint="eastAsia" w:asciiTheme="minorEastAsia" w:hAnsiTheme="minorEastAsia" w:eastAsiaTheme="minorEastAsia"/>
        </w:rPr>
        <w:t>。</w:t>
      </w:r>
    </w:p>
    <w:p>
      <w:pPr>
        <w:widowControl/>
        <w:spacing w:line="360" w:lineRule="auto"/>
        <w:ind w:firstLine="420" w:firstLineChars="200"/>
        <w:jc w:val="left"/>
        <w:rPr>
          <w:rFonts w:asciiTheme="minorEastAsia" w:hAnsiTheme="minorEastAsia" w:eastAsiaTheme="minorEastAsia"/>
        </w:rPr>
      </w:pPr>
      <w:r>
        <w:rPr>
          <w:rFonts w:asciiTheme="minorEastAsia" w:hAnsiTheme="minorEastAsia" w:eastAsiaTheme="minorEastAsia"/>
        </w:rPr>
        <w:t>3</w:t>
      </w:r>
      <w:r>
        <w:rPr>
          <w:rFonts w:hint="eastAsia" w:asciiTheme="minorEastAsia" w:hAnsiTheme="minorEastAsia" w:eastAsiaTheme="minorEastAsia"/>
        </w:rPr>
        <w:t>、项目上限价：￥</w:t>
      </w:r>
      <w:r>
        <w:rPr>
          <w:rFonts w:hint="eastAsia" w:asciiTheme="minorEastAsia" w:hAnsiTheme="minorEastAsia" w:eastAsiaTheme="minorEastAsia"/>
          <w:lang w:val="en-US" w:eastAsia="zh-CN"/>
        </w:rPr>
        <w:t>20</w:t>
      </w:r>
      <w:r>
        <w:rPr>
          <w:rFonts w:asciiTheme="minorEastAsia" w:hAnsiTheme="minorEastAsia" w:eastAsiaTheme="minorEastAsia"/>
        </w:rPr>
        <w:t>0</w:t>
      </w:r>
      <w:r>
        <w:rPr>
          <w:rFonts w:hint="eastAsia" w:asciiTheme="minorEastAsia" w:hAnsiTheme="minorEastAsia" w:eastAsiaTheme="minorEastAsia"/>
          <w:lang w:val="en-US" w:eastAsia="zh-CN"/>
        </w:rPr>
        <w:t>,</w:t>
      </w:r>
      <w:r>
        <w:rPr>
          <w:rFonts w:asciiTheme="minorEastAsia" w:hAnsiTheme="minorEastAsia" w:eastAsiaTheme="minorEastAsia"/>
        </w:rPr>
        <w:t>000</w:t>
      </w:r>
      <w:r>
        <w:rPr>
          <w:rFonts w:hint="eastAsia" w:asciiTheme="minorEastAsia" w:hAnsiTheme="minorEastAsia" w:eastAsiaTheme="minorEastAsia"/>
        </w:rPr>
        <w:t>元，超过采购上限价的属于无效响应。</w:t>
      </w:r>
    </w:p>
    <w:p>
      <w:pPr>
        <w:widowControl/>
        <w:tabs>
          <w:tab w:val="center" w:pos="4363"/>
        </w:tabs>
        <w:spacing w:line="360" w:lineRule="auto"/>
        <w:ind w:firstLine="420" w:firstLineChars="200"/>
        <w:jc w:val="left"/>
        <w:rPr>
          <w:rFonts w:cs="宋体" w:asciiTheme="minorEastAsia" w:hAnsiTheme="minorEastAsia" w:eastAsiaTheme="minorEastAsia"/>
          <w:szCs w:val="21"/>
        </w:rPr>
      </w:pPr>
      <w:r>
        <w:rPr>
          <w:rFonts w:hint="eastAsia" w:asciiTheme="minorEastAsia" w:hAnsiTheme="minorEastAsia" w:eastAsiaTheme="minorEastAsia"/>
        </w:rPr>
        <w:t>4</w:t>
      </w:r>
      <w:r>
        <w:rPr>
          <w:rFonts w:hint="eastAsia" w:cs="宋体" w:asciiTheme="minorEastAsia" w:hAnsiTheme="minorEastAsia" w:eastAsiaTheme="minorEastAsia"/>
          <w:szCs w:val="21"/>
        </w:rPr>
        <w:t>、供货期：合同签订后</w:t>
      </w:r>
      <w:r>
        <w:rPr>
          <w:rFonts w:cs="宋体" w:asciiTheme="minorEastAsia" w:hAnsiTheme="minorEastAsia" w:eastAsiaTheme="minorEastAsia"/>
          <w:szCs w:val="21"/>
        </w:rPr>
        <w:t>3</w:t>
      </w:r>
      <w:r>
        <w:rPr>
          <w:rFonts w:hint="eastAsia" w:cs="宋体" w:asciiTheme="minorEastAsia" w:hAnsiTheme="minorEastAsia" w:eastAsiaTheme="minorEastAsia"/>
          <w:szCs w:val="21"/>
        </w:rPr>
        <w:t>0天</w:t>
      </w:r>
    </w:p>
    <w:p>
      <w:pPr>
        <w:widowControl/>
        <w:spacing w:line="360" w:lineRule="auto"/>
        <w:ind w:firstLine="420" w:firstLineChars="200"/>
        <w:jc w:val="left"/>
        <w:rPr>
          <w:rFonts w:cs="宋体" w:asciiTheme="minorEastAsia" w:hAnsiTheme="minorEastAsia" w:eastAsiaTheme="minorEastAsia"/>
          <w:bCs/>
          <w:szCs w:val="21"/>
        </w:rPr>
      </w:pPr>
      <w:r>
        <w:rPr>
          <w:rFonts w:hint="eastAsia" w:asciiTheme="minorEastAsia" w:hAnsiTheme="minorEastAsia" w:eastAsiaTheme="minorEastAsia"/>
        </w:rPr>
        <w:t>5</w:t>
      </w:r>
      <w:r>
        <w:rPr>
          <w:rFonts w:hint="eastAsia" w:cs="宋体" w:asciiTheme="minorEastAsia" w:hAnsiTheme="minorEastAsia" w:eastAsiaTheme="minorEastAsia"/>
          <w:szCs w:val="21"/>
        </w:rPr>
        <w:t>、</w:t>
      </w:r>
      <w:r>
        <w:rPr>
          <w:rFonts w:asciiTheme="minorEastAsia" w:hAnsiTheme="minorEastAsia" w:eastAsiaTheme="minorEastAsia"/>
        </w:rPr>
        <w:t>报价</w:t>
      </w:r>
      <w:r>
        <w:rPr>
          <w:rFonts w:hint="eastAsia" w:asciiTheme="minorEastAsia" w:hAnsiTheme="minorEastAsia" w:eastAsiaTheme="minorEastAsia"/>
        </w:rPr>
        <w:t>：总价包干，</w:t>
      </w:r>
      <w:r>
        <w:rPr>
          <w:rFonts w:hint="eastAsia" w:cs="宋体" w:asciiTheme="minorEastAsia" w:hAnsiTheme="minorEastAsia" w:eastAsiaTheme="minorEastAsia"/>
          <w:bCs/>
          <w:szCs w:val="21"/>
        </w:rPr>
        <w:t>报价应包括</w:t>
      </w:r>
      <w:r>
        <w:rPr>
          <w:rFonts w:hint="eastAsia" w:cs="宋体" w:asciiTheme="minorEastAsia" w:hAnsiTheme="minorEastAsia" w:eastAsiaTheme="minorEastAsia"/>
          <w:bCs/>
          <w:szCs w:val="21"/>
          <w:lang w:eastAsia="zh-CN"/>
        </w:rPr>
        <w:t>设备</w:t>
      </w:r>
      <w:r>
        <w:rPr>
          <w:rFonts w:hint="eastAsia" w:cs="宋体" w:asciiTheme="minorEastAsia" w:hAnsiTheme="minorEastAsia" w:eastAsiaTheme="minorEastAsia"/>
          <w:bCs/>
          <w:szCs w:val="21"/>
        </w:rPr>
        <w:t>采购、安装调试、验收、培训、售后服务、各种税费及合同实施过程中的不可预见费用等。</w:t>
      </w:r>
    </w:p>
    <w:p>
      <w:pPr>
        <w:spacing w:line="360" w:lineRule="auto"/>
        <w:rPr>
          <w:rFonts w:hint="eastAsia"/>
          <w:b/>
          <w:sz w:val="24"/>
        </w:rPr>
      </w:pPr>
    </w:p>
    <w:p>
      <w:pPr>
        <w:spacing w:line="360" w:lineRule="auto"/>
        <w:rPr>
          <w:b/>
          <w:sz w:val="24"/>
        </w:rPr>
      </w:pPr>
      <w:r>
        <w:rPr>
          <w:rFonts w:hint="eastAsia"/>
          <w:b/>
          <w:sz w:val="24"/>
        </w:rPr>
        <w:t>二、</w:t>
      </w:r>
      <w:r>
        <w:rPr>
          <w:rFonts w:hint="eastAsia"/>
          <w:b/>
          <w:sz w:val="24"/>
          <w:lang w:eastAsia="zh-CN"/>
        </w:rPr>
        <w:t>配置</w:t>
      </w:r>
      <w:r>
        <w:rPr>
          <w:b/>
          <w:sz w:val="24"/>
        </w:rPr>
        <w:t>清单</w:t>
      </w:r>
    </w:p>
    <w:tbl>
      <w:tblPr>
        <w:tblStyle w:val="13"/>
        <w:tblW w:w="806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4037"/>
        <w:gridCol w:w="1575"/>
        <w:gridCol w:w="15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序号</w:t>
            </w:r>
          </w:p>
        </w:tc>
        <w:tc>
          <w:tcPr>
            <w:tcW w:w="4037"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名称</w:t>
            </w:r>
          </w:p>
        </w:tc>
        <w:tc>
          <w:tcPr>
            <w:tcW w:w="1575"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数量</w:t>
            </w:r>
          </w:p>
        </w:tc>
        <w:tc>
          <w:tcPr>
            <w:tcW w:w="1525" w:type="dxa"/>
          </w:tcPr>
          <w:p>
            <w:pPr>
              <w:spacing w:line="360" w:lineRule="auto"/>
              <w:jc w:val="center"/>
              <w:rPr>
                <w:rFonts w:hint="eastAsia" w:asciiTheme="minorEastAsia" w:hAnsiTheme="minorEastAsia" w:eastAsiaTheme="minorEastAsia" w:cstheme="minorEastAsia"/>
                <w:b/>
                <w:sz w:val="21"/>
                <w:szCs w:val="21"/>
                <w:vertAlign w:val="baseline"/>
                <w:lang w:eastAsia="zh-CN"/>
              </w:rPr>
            </w:pPr>
            <w:r>
              <w:rPr>
                <w:rFonts w:hint="eastAsia" w:asciiTheme="minorEastAsia" w:hAnsiTheme="minorEastAsia" w:eastAsiaTheme="minorEastAsia" w:cstheme="minorEastAsia"/>
                <w:b/>
                <w:sz w:val="21"/>
                <w:szCs w:val="21"/>
                <w:vertAlign w:val="baseline"/>
                <w:lang w:eastAsia="zh-CN"/>
              </w:rPr>
              <w:t>单位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1</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智能型4</w:t>
            </w:r>
            <w:r>
              <w:rPr>
                <w:rFonts w:hint="eastAsia" w:asciiTheme="minorEastAsia" w:hAnsiTheme="minorEastAsia" w:eastAsiaTheme="minorEastAsia" w:cstheme="minorEastAsia"/>
                <w:color w:val="auto"/>
                <w:sz w:val="21"/>
                <w:szCs w:val="21"/>
              </w:rPr>
              <w:t>风机IVC主机</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2</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小鼠IVC笼盒</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192</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3</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小鼠备用笼盒全套</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20</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4</w:t>
            </w:r>
          </w:p>
        </w:tc>
        <w:tc>
          <w:tcPr>
            <w:tcW w:w="4037" w:type="dxa"/>
            <w:vAlign w:val="center"/>
          </w:tcPr>
          <w:p>
            <w:pPr>
              <w:numPr>
                <w:ilvl w:val="0"/>
                <w:numId w:val="0"/>
              </w:numPr>
              <w:ind w:leftChars="0"/>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小鼠备用笼底座</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40</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5</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96笼位</w:t>
            </w:r>
            <w:r>
              <w:rPr>
                <w:rFonts w:hint="eastAsia" w:asciiTheme="minorEastAsia" w:hAnsiTheme="minorEastAsia" w:eastAsiaTheme="minorEastAsia" w:cstheme="minorEastAsia"/>
                <w:color w:val="auto"/>
                <w:sz w:val="21"/>
                <w:szCs w:val="21"/>
              </w:rPr>
              <w:t>小鼠笼架</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2</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个</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6</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连接</w:t>
            </w:r>
            <w:r>
              <w:rPr>
                <w:rFonts w:hint="eastAsia" w:asciiTheme="minorEastAsia" w:hAnsiTheme="minorEastAsia" w:eastAsiaTheme="minorEastAsia" w:cstheme="minorEastAsia"/>
                <w:color w:val="auto"/>
                <w:sz w:val="21"/>
                <w:szCs w:val="21"/>
              </w:rPr>
              <w:t>管路</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7</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电源线</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lang w:val="en-US" w:eastAsia="zh-CN"/>
              </w:rPr>
              <w:t>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25" w:type="dxa"/>
          </w:tcPr>
          <w:p>
            <w:pPr>
              <w:spacing w:line="360" w:lineRule="auto"/>
              <w:jc w:val="center"/>
              <w:rPr>
                <w:rFonts w:hint="eastAsia" w:asciiTheme="minorEastAsia" w:hAnsiTheme="minorEastAsia" w:eastAsiaTheme="minorEastAsia" w:cstheme="minorEastAsia"/>
                <w:b w:val="0"/>
                <w:bCs/>
                <w:sz w:val="21"/>
                <w:szCs w:val="21"/>
                <w:vertAlign w:val="baseline"/>
                <w:lang w:val="en-US" w:eastAsia="zh-CN"/>
              </w:rPr>
            </w:pPr>
            <w:r>
              <w:rPr>
                <w:rFonts w:hint="eastAsia" w:asciiTheme="minorEastAsia" w:hAnsiTheme="minorEastAsia" w:eastAsiaTheme="minorEastAsia" w:cstheme="minorEastAsia"/>
                <w:b w:val="0"/>
                <w:bCs/>
                <w:sz w:val="21"/>
                <w:szCs w:val="21"/>
                <w:vertAlign w:val="baseline"/>
                <w:lang w:val="en-US" w:eastAsia="zh-CN"/>
              </w:rPr>
              <w:t>8</w:t>
            </w:r>
          </w:p>
        </w:tc>
        <w:tc>
          <w:tcPr>
            <w:tcW w:w="4037"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使用说明书</w:t>
            </w:r>
          </w:p>
        </w:tc>
        <w:tc>
          <w:tcPr>
            <w:tcW w:w="157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1</w:t>
            </w:r>
          </w:p>
        </w:tc>
        <w:tc>
          <w:tcPr>
            <w:tcW w:w="1525" w:type="dxa"/>
            <w:vAlign w:val="center"/>
          </w:tcPr>
          <w:p>
            <w:pPr>
              <w:spacing w:line="360" w:lineRule="auto"/>
              <w:jc w:val="center"/>
              <w:rPr>
                <w:rFonts w:hint="eastAsia" w:asciiTheme="minorEastAsia" w:hAnsiTheme="minorEastAsia" w:eastAsiaTheme="minorEastAsia" w:cstheme="minorEastAsia"/>
                <w:b/>
                <w:sz w:val="21"/>
                <w:szCs w:val="21"/>
                <w:vertAlign w:val="baseline"/>
              </w:rPr>
            </w:pPr>
            <w:r>
              <w:rPr>
                <w:rFonts w:hint="eastAsia" w:asciiTheme="minorEastAsia" w:hAnsiTheme="minorEastAsia" w:eastAsiaTheme="minorEastAsia" w:cstheme="minorEastAsia"/>
                <w:color w:val="auto"/>
                <w:sz w:val="21"/>
                <w:szCs w:val="21"/>
              </w:rPr>
              <w:t>份</w:t>
            </w:r>
          </w:p>
        </w:tc>
      </w:tr>
    </w:tbl>
    <w:p>
      <w:pPr>
        <w:spacing w:line="360" w:lineRule="auto"/>
        <w:rPr>
          <w:b/>
          <w:sz w:val="24"/>
        </w:rPr>
      </w:pPr>
    </w:p>
    <w:p>
      <w:pPr>
        <w:spacing w:line="360" w:lineRule="auto"/>
        <w:rPr>
          <w:rFonts w:ascii="宋体" w:hAnsi="宋体"/>
          <w:b/>
          <w:sz w:val="24"/>
        </w:rPr>
      </w:pPr>
      <w:r>
        <w:rPr>
          <w:rFonts w:hint="eastAsia" w:ascii="宋体" w:hAnsi="宋体"/>
          <w:b/>
          <w:sz w:val="24"/>
        </w:rPr>
        <w:t>三</w:t>
      </w:r>
      <w:r>
        <w:rPr>
          <w:rFonts w:ascii="宋体" w:hAnsi="宋体"/>
          <w:b/>
          <w:sz w:val="24"/>
        </w:rPr>
        <w:t>、</w:t>
      </w:r>
      <w:r>
        <w:rPr>
          <w:rFonts w:hint="eastAsia" w:ascii="宋体" w:hAnsi="宋体"/>
          <w:b/>
          <w:sz w:val="24"/>
        </w:rPr>
        <w:t>技术参数</w:t>
      </w:r>
    </w:p>
    <w:p>
      <w:pPr>
        <w:widowControl/>
        <w:spacing w:line="360" w:lineRule="auto"/>
        <w:ind w:firstLine="422" w:firstLineChars="200"/>
        <w:jc w:val="left"/>
        <w:rPr>
          <w:rFonts w:hint="eastAsia" w:asciiTheme="minorEastAsia" w:hAnsiTheme="minorEastAsia" w:eastAsiaTheme="minorEastAsia"/>
          <w:b/>
          <w:bCs/>
          <w:lang w:val="en-US" w:eastAsia="zh-CN"/>
        </w:rPr>
      </w:pPr>
      <w:r>
        <w:rPr>
          <w:rFonts w:hint="eastAsia" w:asciiTheme="minorEastAsia" w:hAnsiTheme="minorEastAsia" w:eastAsiaTheme="minorEastAsia"/>
          <w:b/>
          <w:bCs/>
          <w:lang w:val="en-US" w:eastAsia="zh-CN"/>
        </w:rPr>
        <w:t>1、主机参数</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★1.1 主机可满足≥192笼位小鼠饲养,边角设计圆润有弧度，不易碰撞损坏；手触摸处光滑平整，无锐边毛刺，无沟槽、无清洁死角。</w:t>
      </w:r>
    </w:p>
    <w:p>
      <w:pPr>
        <w:widowControl/>
        <w:numPr>
          <w:ilvl w:val="0"/>
          <w:numId w:val="0"/>
        </w:numPr>
        <w:spacing w:line="360" w:lineRule="auto"/>
        <w:ind w:leftChars="0"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▲1.2 脚轮采用静音万向轮设计，带刹车，方便移动并能保持稳定；主体尺寸≤45cm×75cm×200cm，正负偏差＜5%，方便在实验室边角安装；主机可扩展连接1-4个笼架，风机可确保所有笼盒的通风和压差保持稳定。</w:t>
      </w:r>
    </w:p>
    <w:p>
      <w:pPr>
        <w:widowControl/>
        <w:spacing w:line="360" w:lineRule="auto"/>
        <w:ind w:firstLine="420" w:firstLineChars="200"/>
        <w:jc w:val="left"/>
        <w:rPr>
          <w:rFonts w:hint="eastAsia" w:asciiTheme="minorEastAsia" w:hAnsiTheme="minorEastAsia" w:eastAsiaTheme="minorEastAsia"/>
          <w:lang w:val="en-US" w:eastAsia="zh-CN"/>
        </w:rPr>
      </w:pP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 xml:space="preserve">1.3 </w:t>
      </w:r>
      <w:r>
        <w:rPr>
          <w:rFonts w:hint="eastAsia" w:asciiTheme="minorEastAsia" w:hAnsiTheme="minorEastAsia" w:eastAsiaTheme="minorEastAsia"/>
        </w:rPr>
        <w:t>主机通过螺旋骨架自支撑</w:t>
      </w:r>
      <w:r>
        <w:rPr>
          <w:rFonts w:hint="eastAsia" w:asciiTheme="minorEastAsia" w:hAnsiTheme="minorEastAsia" w:eastAsiaTheme="minorEastAsia"/>
          <w:lang w:val="en-US" w:eastAsia="zh-CN"/>
        </w:rPr>
        <w:t>的</w:t>
      </w:r>
      <w:bookmarkStart w:id="0" w:name="_GoBack"/>
      <w:bookmarkEnd w:id="0"/>
      <w:r>
        <w:rPr>
          <w:rFonts w:hint="eastAsia" w:asciiTheme="minorEastAsia" w:hAnsiTheme="minorEastAsia" w:eastAsiaTheme="minorEastAsia"/>
        </w:rPr>
        <w:t>可变软管与笼架连接，腔体体积稳定，保证风压无波动；</w:t>
      </w:r>
      <w:r>
        <w:rPr>
          <w:rFonts w:hint="eastAsia" w:asciiTheme="minorEastAsia" w:hAnsiTheme="minorEastAsia" w:eastAsiaTheme="minorEastAsia"/>
          <w:lang w:val="en-US" w:eastAsia="zh-CN"/>
        </w:rPr>
        <w:t>与笼架分离，振动不通过结构传播，确保笼盒内部稳定安静，运行噪音在200Hz-80KHz范围内（即鼠听觉范围）≤50db。</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1.4 主机连接具有专用测试笼盒，能够在线实时监测笼盒如压差、温度、湿度及换气次数等。</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★1.5 主机要求具有正面、背面进风设计，进风位置优化适中无障碍物阻挡。进风口面积≥700cm2，进风口为均匀排布的规则圆孔，内侧自带不低于SUS304等级的不锈钢初效滤网，保证了进风的洁净有效。</w:t>
      </w:r>
    </w:p>
    <w:p>
      <w:pPr>
        <w:widowControl/>
        <w:numPr>
          <w:ilvl w:val="0"/>
          <w:numId w:val="0"/>
        </w:numPr>
        <w:spacing w:line="360" w:lineRule="auto"/>
        <w:ind w:leftChars="0"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★1.6 进排风处至少提供初、高效两级过滤，进风和出风均经过不低于H14级HEPA滤膜过滤，高效过滤效率≥99.995%，高效过滤器应带出厂测试合格检验报告，高效过滤器的截面面积应≥</w:t>
      </w:r>
      <w:commentRangeStart w:id="0"/>
      <w:r>
        <w:rPr>
          <w:rFonts w:hint="eastAsia" w:asciiTheme="minorEastAsia" w:hAnsiTheme="minorEastAsia" w:eastAsiaTheme="minorEastAsia"/>
          <w:lang w:val="en-US" w:eastAsia="zh-CN"/>
        </w:rPr>
        <w:t>0.09㎡</w:t>
      </w:r>
      <w:commentRangeEnd w:id="0"/>
      <w:r>
        <w:commentReference w:id="0"/>
      </w:r>
      <w:r>
        <w:rPr>
          <w:rFonts w:hint="eastAsia" w:asciiTheme="minorEastAsia" w:hAnsiTheme="minorEastAsia" w:eastAsiaTheme="minorEastAsia"/>
          <w:lang w:val="en-US" w:eastAsia="zh-CN"/>
        </w:rPr>
        <w:t>，笼盒内空气洁净度≥ISO5级。</w:t>
      </w:r>
    </w:p>
    <w:p>
      <w:pPr>
        <w:widowControl/>
        <w:spacing w:line="360" w:lineRule="auto"/>
        <w:ind w:firstLine="420" w:firstLineChars="200"/>
        <w:jc w:val="left"/>
        <w:rPr>
          <w:rFonts w:hint="eastAsia" w:asciiTheme="minorEastAsia" w:hAnsiTheme="minorEastAsia" w:eastAsiaTheme="minorEastAsia"/>
          <w:lang w:val="en-US" w:eastAsia="zh-CN"/>
        </w:rPr>
      </w:pPr>
      <w:commentRangeStart w:id="1"/>
      <w:r>
        <w:rPr>
          <w:rFonts w:hint="eastAsia" w:asciiTheme="minorEastAsia" w:hAnsiTheme="minorEastAsia" w:eastAsiaTheme="minorEastAsia"/>
          <w:lang w:val="en-US" w:eastAsia="zh-CN"/>
        </w:rPr>
        <w:t>▲</w:t>
      </w:r>
      <w:commentRangeEnd w:id="1"/>
      <w:r>
        <w:commentReference w:id="1"/>
      </w:r>
      <w:r>
        <w:rPr>
          <w:rFonts w:hint="eastAsia" w:asciiTheme="minorEastAsia" w:hAnsiTheme="minorEastAsia" w:eastAsiaTheme="minorEastAsia"/>
          <w:lang w:val="en-US" w:eastAsia="zh-CN"/>
        </w:rPr>
        <w:t>1.7 具有双风机结构，一备一用，2送风机和2排风机分别控制送风和排风，保证全部笼盒内的换气次数和气流稳定性，一风机有故障仍然能正常使用。</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1.8 风机采用低压直流无刷电机，可长时间低噪音稳定运行，风量≥200m³/h，气流速度（m/s）：0.05-0.13。风机可确保所有笼盒的通风和压差保持稳定，具备正压和负压两种控制调节模式，笼盒内外压差（kPa）：-50~50可调。</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1.9 数控微处理器控制，智能化可变风量设计，保持通风效果，恒定笼内压力，具有自动/手动运行模式。彩色触屏，分辨率≥1024*600。显示笼盒内压差、温度、湿度、换气次数等指标，可控制压差目标值、换气次数目标值、温湿度报警上下限值等参数；主机带故障报警、温湿度、压力等指标超限报警功能。</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1.10 主机可选配联网功能：支持多种部署方式，可随时切换，满足多样化需求。支持本地部署+本地监控监控室进行设备管理，满足无网络场景及安全需求。也支持切换为云端部署，满足远程监控及报警需求。</w:t>
      </w:r>
    </w:p>
    <w:p>
      <w:pPr>
        <w:widowControl/>
        <w:spacing w:line="360" w:lineRule="auto"/>
        <w:ind w:firstLine="422" w:firstLineChars="200"/>
        <w:jc w:val="left"/>
        <w:rPr>
          <w:rFonts w:hint="eastAsia" w:asciiTheme="minorEastAsia" w:hAnsiTheme="minorEastAsia" w:eastAsiaTheme="minorEastAsia"/>
          <w:b/>
          <w:bCs/>
          <w:lang w:val="en-US" w:eastAsia="zh-CN"/>
        </w:rPr>
      </w:pPr>
    </w:p>
    <w:p>
      <w:pPr>
        <w:widowControl/>
        <w:spacing w:line="360" w:lineRule="auto"/>
        <w:ind w:firstLine="422" w:firstLineChars="200"/>
        <w:jc w:val="left"/>
        <w:rPr>
          <w:rFonts w:hint="eastAsia" w:asciiTheme="minorEastAsia" w:hAnsiTheme="minorEastAsia" w:eastAsiaTheme="minorEastAsia"/>
          <w:b/>
          <w:bCs/>
          <w:lang w:val="en-US" w:eastAsia="zh-CN"/>
        </w:rPr>
      </w:pPr>
      <w:r>
        <w:rPr>
          <w:rFonts w:hint="eastAsia" w:asciiTheme="minorEastAsia" w:hAnsiTheme="minorEastAsia" w:eastAsiaTheme="minorEastAsia"/>
          <w:b/>
          <w:bCs/>
          <w:lang w:val="en-US" w:eastAsia="zh-CN"/>
        </w:rPr>
        <w:t>2、笼架参数</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★2.1 配备96以上笼位小鼠笼架2个，规格≤2200*500*200mm，正负偏差＜5%；小鼠鼠笼盒不少于192笼，额外配备备用笼盒全套20笼，备用笼底座40个。</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2.2 笼架主体采用不低于SUS 304等级的不锈钢焊接，一体化设计，外表面经表面处理，不反光，手指触碰不留明显指纹，外形美观，边缘无毛刺，可高温高压灭菌；带刹车万向轮设计，方便移动和在实验室预定位置部署安装。</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2.3 送排风管道分离式设计，可从笼架主体分离，方便后期清洁维护；顶置送风，底部排风设计，符合实验室进排风设计规范，污染物自然沉积，配合可拆除管路实现快速清洁。送排风管道采用优质304不锈钢管道，各部分连接密封接口使用硅胶覆盖件和密封件，确保气体无泄漏。</w:t>
      </w:r>
    </w:p>
    <w:p>
      <w:pPr>
        <w:widowControl/>
        <w:spacing w:line="360" w:lineRule="auto"/>
        <w:ind w:firstLine="420" w:firstLineChars="200"/>
        <w:jc w:val="left"/>
        <w:rPr>
          <w:rFonts w:hint="eastAsia" w:asciiTheme="minorEastAsia" w:hAnsiTheme="minorEastAsia" w:eastAsiaTheme="minorEastAsia"/>
          <w:lang w:val="en-US" w:eastAsia="zh-CN"/>
        </w:rPr>
      </w:pPr>
    </w:p>
    <w:p>
      <w:pPr>
        <w:widowControl/>
        <w:spacing w:line="360" w:lineRule="auto"/>
        <w:ind w:firstLine="422" w:firstLineChars="200"/>
        <w:jc w:val="left"/>
        <w:rPr>
          <w:rFonts w:hint="eastAsia" w:asciiTheme="minorEastAsia" w:hAnsiTheme="minorEastAsia" w:eastAsiaTheme="minorEastAsia"/>
          <w:b/>
          <w:bCs/>
          <w:lang w:val="en-US" w:eastAsia="zh-CN"/>
        </w:rPr>
      </w:pPr>
      <w:r>
        <w:rPr>
          <w:rFonts w:hint="eastAsia" w:asciiTheme="minorEastAsia" w:hAnsiTheme="minorEastAsia" w:eastAsiaTheme="minorEastAsia"/>
          <w:b/>
          <w:bCs/>
          <w:lang w:val="en-US" w:eastAsia="zh-CN"/>
        </w:rPr>
        <w:t>3、笼盒参数</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3.1 笼盒使用PSU材质全新材料加工，不使用虚假塑料或回收塑料，笼盒为透明光亮，无浑浊杂质，透光性强，便于实验观察，笼盒耐136℃高温消毒灭菌和高压灭菌。</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★3.2 单个小鼠笼盒尺寸≤38cm×16cm×17cm，正负偏差＜5%，提供高达500平方厘米的生活空间，可容纳多只动物的生活，符合GB14925国标要求；</w:t>
      </w:r>
    </w:p>
    <w:p>
      <w:pPr>
        <w:widowControl/>
        <w:numPr>
          <w:ilvl w:val="0"/>
          <w:numId w:val="0"/>
        </w:numPr>
        <w:spacing w:line="360" w:lineRule="auto"/>
        <w:ind w:firstLine="630" w:firstLineChars="3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3.3 笼盖饮水瓶入口具有不锈钢弹力自密闭悬板活门，减少插拔水瓶过程中的污染。笼盖饮水瓶放置槽边置，具有辅助定位导槽，水瓶放入无需刻意对准即可通过导槽导入饮水瓶入口。饮水瓶瓶口使用硅胶密封圈，接口处摇晃不漏水。</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3.4 小鼠饮水瓶容量≥280ml，方形截面不滚动，瓶体采用聚苯砜PSU材料，瓶口带密封硅胶圈，可高压灭菌；瓶盖为不低于316等级的不锈钢冲压成型，边缘无毛刺，饮水管不漏水不滴水，具有高耐腐蚀性，有效防止水垢及细菌的滋生。</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3.5 笼盒采用上部送风、上部排风结构，进风口与排风口之间应有阻隔板，笼盒内的气流速度≤0.10m/s，避免动物直接被送风直吹，造成热量流失及应激反应。送排风接口采用独特的伸缩径向密闭设计，装于笼架时接口缩入，回路接通，脱离笼架后，接口伸出，密闭笼盒，密封圈使用硅胶材质，柔软耐用。</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★3.6 具备断电保护功能：笼盖配置防停电窒息的生命窗，并覆盖微生物滤膜保护，断电后大小鼠可继续生存≥72 小时。生命窗四周带有硅胶密封压槽，覆盖 0.2µm 高效过滤膜，过滤膜可直接水洗、高温高压灭菌。</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3.7 不锈钢全网罩设计，网盖主框不锈钢丝直径Φ≥3.5mm，主框内矩形网格不锈钢丝直径Φ≥1.8mm，中心距≤8mm，动物或人员接触处无毛刺尖角，不能有卡动物脚趾现象。</w:t>
      </w:r>
    </w:p>
    <w:p>
      <w:pPr>
        <w:widowControl/>
        <w:spacing w:line="360" w:lineRule="auto"/>
        <w:ind w:firstLine="420" w:firstLineChars="200"/>
        <w:jc w:val="left"/>
        <w:rPr>
          <w:rFonts w:hint="eastAsia" w:asciiTheme="minorEastAsia" w:hAnsiTheme="minorEastAsia" w:eastAsiaTheme="minorEastAsia"/>
          <w:lang w:val="en-US" w:eastAsia="zh-CN"/>
        </w:rPr>
      </w:pPr>
      <w:r>
        <w:rPr>
          <w:rFonts w:hint="eastAsia" w:asciiTheme="minorEastAsia" w:hAnsiTheme="minorEastAsia" w:eastAsiaTheme="minorEastAsia"/>
          <w:lang w:val="en-US" w:eastAsia="zh-CN"/>
        </w:rPr>
        <w:t>3.8 笼盒和笼盖轴向密封，限制气体径向流动，底盒上部有硅胶密封条，保持良好的气密性，密封圈槽式安装，保护材料，可反复高温高压灭菌；高强度塑料分体式搭扣，可单独拆卸清洗消毒。</w:t>
      </w:r>
    </w:p>
    <w:p>
      <w:pPr>
        <w:spacing w:line="360" w:lineRule="auto"/>
        <w:rPr>
          <w:rFonts w:hint="eastAsia" w:ascii="宋体" w:hAnsi="宋体"/>
          <w:b/>
          <w:sz w:val="24"/>
        </w:rPr>
      </w:pPr>
    </w:p>
    <w:p>
      <w:pPr>
        <w:spacing w:line="360" w:lineRule="auto"/>
        <w:rPr>
          <w:rFonts w:ascii="宋体" w:hAnsi="宋体"/>
          <w:b/>
          <w:sz w:val="24"/>
        </w:rPr>
      </w:pPr>
      <w:r>
        <w:rPr>
          <w:rFonts w:hint="eastAsia" w:ascii="宋体" w:hAnsi="宋体"/>
          <w:b/>
          <w:sz w:val="24"/>
        </w:rPr>
        <w:t>四、质量要求</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1、供应商提供的货物质量必须符合国家相关标准、行业标准及项目要求</w:t>
      </w:r>
      <w:r>
        <w:rPr>
          <w:rFonts w:asciiTheme="minorEastAsia" w:hAnsiTheme="minorEastAsia" w:eastAsiaTheme="minorEastAsia"/>
          <w:color w:val="000000"/>
          <w:szCs w:val="21"/>
        </w:rPr>
        <w:t>。</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2、供应商</w:t>
      </w:r>
      <w:r>
        <w:rPr>
          <w:rFonts w:asciiTheme="minorEastAsia" w:hAnsiTheme="minorEastAsia" w:eastAsiaTheme="minorEastAsia"/>
          <w:color w:val="000000"/>
          <w:szCs w:val="21"/>
        </w:rPr>
        <w:t>提供的</w:t>
      </w:r>
      <w:r>
        <w:rPr>
          <w:rFonts w:hint="eastAsia" w:asciiTheme="minorEastAsia" w:hAnsiTheme="minorEastAsia" w:eastAsiaTheme="minorEastAsia"/>
          <w:color w:val="000000"/>
          <w:szCs w:val="21"/>
        </w:rPr>
        <w:t>货物</w:t>
      </w:r>
      <w:r>
        <w:rPr>
          <w:rFonts w:asciiTheme="minorEastAsia" w:hAnsiTheme="minorEastAsia" w:eastAsiaTheme="minorEastAsia"/>
          <w:color w:val="000000"/>
          <w:szCs w:val="21"/>
        </w:rPr>
        <w:t>为</w:t>
      </w:r>
      <w:r>
        <w:rPr>
          <w:rFonts w:hint="eastAsia" w:asciiTheme="minorEastAsia" w:hAnsiTheme="minorEastAsia" w:eastAsiaTheme="minorEastAsia"/>
          <w:color w:val="000000"/>
          <w:szCs w:val="21"/>
        </w:rPr>
        <w:t>厂家原装正品、全新</w:t>
      </w:r>
      <w:r>
        <w:rPr>
          <w:rFonts w:asciiTheme="minorEastAsia" w:hAnsiTheme="minorEastAsia" w:eastAsiaTheme="minorEastAsia"/>
          <w:color w:val="000000"/>
          <w:szCs w:val="21"/>
        </w:rPr>
        <w:t>产品，</w:t>
      </w:r>
      <w:r>
        <w:rPr>
          <w:rFonts w:hint="eastAsia" w:asciiTheme="minorEastAsia" w:hAnsiTheme="minorEastAsia" w:eastAsiaTheme="minorEastAsia"/>
          <w:color w:val="000000"/>
          <w:szCs w:val="21"/>
        </w:rPr>
        <w:t>无侵权行为、表面无划损、无任何缺陷隐患，在中国境内可安全合法使用。</w:t>
      </w:r>
    </w:p>
    <w:p>
      <w:pPr>
        <w:spacing w:line="460" w:lineRule="atLeast"/>
        <w:rPr>
          <w:rFonts w:asciiTheme="minorEastAsia" w:hAnsiTheme="minorEastAsia" w:eastAsiaTheme="minorEastAsia"/>
          <w:color w:val="000000"/>
          <w:szCs w:val="21"/>
        </w:rPr>
      </w:pPr>
      <w:r>
        <w:rPr>
          <w:rFonts w:hint="eastAsia" w:asciiTheme="minorEastAsia" w:hAnsiTheme="minorEastAsia" w:eastAsiaTheme="minorEastAsia"/>
          <w:color w:val="000000"/>
          <w:szCs w:val="21"/>
        </w:rPr>
        <w:t>3、供应商保证对其出售的设备享有所有权或处分权，并且没有法律、法规禁止或限制出售的情形。同时，供应商出售的设备也没有侵犯第三人的知识产权和商业秘密等权利。如采购人使用该设备构成上述侵权，供应商承担全部相关责任。</w:t>
      </w:r>
    </w:p>
    <w:p>
      <w:pPr>
        <w:spacing w:line="460" w:lineRule="atLeast"/>
        <w:rPr>
          <w:b/>
          <w:sz w:val="24"/>
        </w:rPr>
      </w:pPr>
      <w:r>
        <w:rPr>
          <w:rFonts w:hint="eastAsia" w:asciiTheme="minorEastAsia" w:hAnsiTheme="minorEastAsia" w:eastAsiaTheme="minorEastAsia"/>
          <w:color w:val="000000"/>
          <w:szCs w:val="21"/>
        </w:rPr>
        <w:t>4、供应商对由于设计工艺或材料的缺陷所发生的任何故障负责，所需费用由供应商承担。</w:t>
      </w:r>
    </w:p>
    <w:p>
      <w:pPr>
        <w:widowControl/>
        <w:spacing w:line="360" w:lineRule="auto"/>
        <w:ind w:left="2048" w:hanging="2048"/>
        <w:jc w:val="left"/>
        <w:rPr>
          <w:b/>
          <w:sz w:val="24"/>
        </w:rPr>
      </w:pPr>
      <w:r>
        <w:rPr>
          <w:rFonts w:hint="eastAsia"/>
          <w:b/>
          <w:sz w:val="24"/>
        </w:rPr>
        <w:t>五、服务要求</w:t>
      </w:r>
    </w:p>
    <w:p>
      <w:pPr>
        <w:spacing w:line="360" w:lineRule="auto"/>
        <w:rPr>
          <w:rFonts w:hint="eastAsia" w:asciiTheme="minorEastAsia" w:hAnsiTheme="minorEastAsia" w:eastAsiaTheme="minorEastAsia"/>
        </w:rPr>
      </w:pPr>
      <w:r>
        <w:rPr>
          <w:rFonts w:hint="eastAsia" w:asciiTheme="minorEastAsia" w:hAnsiTheme="minorEastAsia" w:eastAsiaTheme="minorEastAsia"/>
        </w:rPr>
        <w:t>1、合同签订之日起</w:t>
      </w:r>
      <w:r>
        <w:rPr>
          <w:rFonts w:hint="eastAsia" w:asciiTheme="minorEastAsia" w:hAnsiTheme="minorEastAsia" w:eastAsiaTheme="minorEastAsia"/>
          <w:lang w:val="en-US" w:eastAsia="zh-CN"/>
        </w:rPr>
        <w:t>1</w:t>
      </w:r>
      <w:r>
        <w:rPr>
          <w:rFonts w:hint="eastAsia" w:asciiTheme="minorEastAsia" w:hAnsiTheme="minorEastAsia" w:eastAsiaTheme="minorEastAsia"/>
        </w:rPr>
        <w:t>个月内</w:t>
      </w:r>
      <w:r>
        <w:rPr>
          <w:rFonts w:hint="eastAsia" w:asciiTheme="minorEastAsia" w:hAnsiTheme="minorEastAsia" w:eastAsiaTheme="minorEastAsia"/>
          <w:lang w:eastAsia="zh-CN"/>
        </w:rPr>
        <w:t>，供应商应将</w:t>
      </w:r>
      <w:r>
        <w:rPr>
          <w:rFonts w:hint="eastAsia" w:asciiTheme="minorEastAsia" w:hAnsiTheme="minorEastAsia" w:eastAsiaTheme="minorEastAsia"/>
        </w:rPr>
        <w:t>全部货物运送至采购人指定地点并完成安装调试</w:t>
      </w:r>
      <w:r>
        <w:rPr>
          <w:rFonts w:hint="eastAsia" w:asciiTheme="minorEastAsia" w:hAnsiTheme="minorEastAsia" w:eastAsiaTheme="minorEastAsia"/>
          <w:lang w:eastAsia="zh-CN"/>
        </w:rPr>
        <w:t>。</w:t>
      </w:r>
    </w:p>
    <w:p>
      <w:pPr>
        <w:spacing w:line="360" w:lineRule="auto"/>
        <w:rPr>
          <w:rFonts w:asciiTheme="minorEastAsia" w:hAnsiTheme="minorEastAsia" w:eastAsiaTheme="minorEastAsia"/>
          <w:color w:val="FF0000"/>
        </w:rPr>
      </w:pPr>
      <w:r>
        <w:rPr>
          <w:rFonts w:asciiTheme="minorEastAsia" w:hAnsiTheme="minorEastAsia" w:eastAsiaTheme="minorEastAsia"/>
        </w:rPr>
        <w:t>2</w:t>
      </w:r>
      <w:r>
        <w:rPr>
          <w:rFonts w:hint="eastAsia" w:asciiTheme="minorEastAsia" w:hAnsiTheme="minorEastAsia" w:eastAsiaTheme="minorEastAsia"/>
        </w:rPr>
        <w:t>、</w:t>
      </w:r>
      <w:r>
        <w:rPr>
          <w:rFonts w:asciiTheme="minorEastAsia" w:hAnsiTheme="minorEastAsia" w:eastAsiaTheme="minorEastAsia"/>
        </w:rPr>
        <w:t>质保</w:t>
      </w:r>
      <w:r>
        <w:rPr>
          <w:rFonts w:hint="eastAsia" w:asciiTheme="minorEastAsia" w:hAnsiTheme="minorEastAsia" w:eastAsiaTheme="minorEastAsia"/>
          <w:lang w:eastAsia="zh-CN"/>
        </w:rPr>
        <w:t>期不少于</w:t>
      </w:r>
      <w:r>
        <w:rPr>
          <w:rFonts w:hint="eastAsia" w:asciiTheme="minorEastAsia" w:hAnsiTheme="minorEastAsia" w:eastAsiaTheme="minorEastAsia"/>
          <w:lang w:val="en-US" w:eastAsia="zh-CN"/>
        </w:rPr>
        <w:t>一年</w:t>
      </w:r>
      <w:r>
        <w:rPr>
          <w:rFonts w:hint="eastAsia" w:asciiTheme="minorEastAsia" w:hAnsiTheme="minorEastAsia" w:eastAsiaTheme="minorEastAsia"/>
        </w:rPr>
        <w:t>，若国家或生产厂家对本项目所涉及货物质量保证期的规定高于本项目的要求，应按国家或生产厂家的规定执行。</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3、</w:t>
      </w:r>
      <w:r>
        <w:rPr>
          <w:rFonts w:hint="eastAsia" w:cs="宋体" w:asciiTheme="minorEastAsia" w:hAnsiTheme="minorEastAsia" w:eastAsiaTheme="minorEastAsia"/>
          <w:bCs/>
          <w:szCs w:val="21"/>
        </w:rPr>
        <w:t>质保期内供应商提供“包退、包换、包修”的质量“三包”服务，一切维修费用、备品备件费用均由供应商免费提供。</w:t>
      </w:r>
    </w:p>
    <w:p>
      <w:pPr>
        <w:spacing w:line="360" w:lineRule="auto"/>
        <w:rPr>
          <w:rFonts w:cs="宋体" w:asciiTheme="minorEastAsia" w:hAnsiTheme="minorEastAsia" w:eastAsiaTheme="minorEastAsia"/>
          <w:szCs w:val="21"/>
        </w:rPr>
      </w:pPr>
      <w:r>
        <w:rPr>
          <w:rFonts w:hint="eastAsia" w:cs="宋体" w:asciiTheme="minorEastAsia" w:hAnsiTheme="minorEastAsia" w:eastAsiaTheme="minorEastAsia"/>
          <w:szCs w:val="21"/>
        </w:rPr>
        <w:t>4、</w:t>
      </w:r>
      <w:r>
        <w:rPr>
          <w:rFonts w:hint="eastAsia" w:asciiTheme="minorEastAsia" w:hAnsiTheme="minorEastAsia" w:eastAsiaTheme="minorEastAsia"/>
        </w:rPr>
        <w:t>售后服务：</w:t>
      </w:r>
      <w:r>
        <w:rPr>
          <w:rFonts w:cs="宋体" w:asciiTheme="minorEastAsia" w:hAnsiTheme="minorEastAsia" w:eastAsiaTheme="minorEastAsia"/>
          <w:szCs w:val="21"/>
        </w:rPr>
        <w:t>响应时间</w:t>
      </w:r>
      <w:r>
        <w:rPr>
          <w:rFonts w:hint="eastAsia" w:cs="宋体" w:asciiTheme="minorEastAsia" w:hAnsiTheme="minorEastAsia" w:eastAsiaTheme="minorEastAsia"/>
          <w:szCs w:val="21"/>
        </w:rPr>
        <w:t>为</w:t>
      </w:r>
      <w:r>
        <w:rPr>
          <w:rFonts w:hint="eastAsia" w:cs="宋体" w:asciiTheme="minorEastAsia" w:hAnsiTheme="minorEastAsia" w:eastAsiaTheme="minorEastAsia"/>
          <w:szCs w:val="21"/>
          <w:lang w:val="en-US" w:eastAsia="zh-CN"/>
        </w:rPr>
        <w:t>2小时</w:t>
      </w:r>
      <w:r>
        <w:rPr>
          <w:rFonts w:hint="eastAsia" w:cs="宋体" w:asciiTheme="minorEastAsia" w:hAnsiTheme="minorEastAsia" w:eastAsiaTheme="minorEastAsia"/>
          <w:szCs w:val="21"/>
        </w:rPr>
        <w:t>内</w:t>
      </w:r>
      <w:r>
        <w:rPr>
          <w:rFonts w:cs="宋体" w:asciiTheme="minorEastAsia" w:hAnsiTheme="minorEastAsia" w:eastAsiaTheme="minorEastAsia"/>
          <w:szCs w:val="21"/>
        </w:rPr>
        <w:t>，到达现场时间为4</w:t>
      </w:r>
      <w:r>
        <w:rPr>
          <w:rFonts w:hint="eastAsia" w:cs="宋体" w:asciiTheme="minorEastAsia" w:hAnsiTheme="minorEastAsia" w:eastAsiaTheme="minorEastAsia"/>
          <w:szCs w:val="21"/>
          <w:lang w:val="en-US" w:eastAsia="zh-CN"/>
        </w:rPr>
        <w:t>8</w:t>
      </w:r>
      <w:r>
        <w:rPr>
          <w:rFonts w:hint="eastAsia" w:cs="宋体" w:asciiTheme="minorEastAsia" w:hAnsiTheme="minorEastAsia" w:eastAsiaTheme="minorEastAsia"/>
          <w:szCs w:val="21"/>
        </w:rPr>
        <w:t>小时内。</w:t>
      </w:r>
    </w:p>
    <w:p>
      <w:pPr>
        <w:spacing w:line="360" w:lineRule="auto"/>
        <w:rPr>
          <w:b/>
          <w:sz w:val="24"/>
        </w:rPr>
      </w:pPr>
      <w:r>
        <w:rPr>
          <w:rFonts w:hint="eastAsia" w:cs="宋体" w:asciiTheme="minorEastAsia" w:hAnsiTheme="minorEastAsia" w:eastAsiaTheme="minorEastAsia"/>
          <w:szCs w:val="21"/>
        </w:rPr>
        <w:t>5、</w:t>
      </w:r>
      <w:r>
        <w:rPr>
          <w:rFonts w:hint="eastAsia" w:asciiTheme="minorEastAsia" w:hAnsiTheme="minorEastAsia" w:eastAsiaTheme="minorEastAsia"/>
          <w:color w:val="000000"/>
        </w:rPr>
        <w:t>供应商须提供免费的培训服务，直接采购人熟悉设备操作及日常保养为止。</w:t>
      </w:r>
    </w:p>
    <w:p>
      <w:pPr>
        <w:widowControl/>
        <w:spacing w:line="384" w:lineRule="auto"/>
        <w:jc w:val="left"/>
        <w:rPr>
          <w:sz w:val="24"/>
        </w:rPr>
      </w:pPr>
      <w:r>
        <w:rPr>
          <w:rFonts w:hint="eastAsia"/>
          <w:b/>
          <w:sz w:val="24"/>
        </w:rPr>
        <w:t>六、验收与结算</w:t>
      </w:r>
    </w:p>
    <w:p>
      <w:pPr>
        <w:spacing w:line="360" w:lineRule="auto"/>
        <w:rPr>
          <w:rFonts w:asciiTheme="minorEastAsia" w:hAnsiTheme="minorEastAsia" w:eastAsiaTheme="minorEastAsia"/>
          <w:color w:val="000000"/>
        </w:rPr>
      </w:pPr>
      <w:r>
        <w:rPr>
          <w:rFonts w:hint="eastAsia" w:cs="宋体" w:asciiTheme="minorEastAsia" w:hAnsiTheme="minorEastAsia" w:eastAsiaTheme="minorEastAsia"/>
          <w:szCs w:val="21"/>
        </w:rPr>
        <w:t>1、供应商将货物送到采购人指定地点，安装调试后按</w:t>
      </w:r>
      <w:r>
        <w:rPr>
          <w:rFonts w:hint="eastAsia" w:asciiTheme="minorEastAsia" w:hAnsiTheme="minorEastAsia" w:eastAsiaTheme="minorEastAsia"/>
          <w:color w:val="000000"/>
        </w:rPr>
        <w:t>国家相关标准、行业标准及项目要求进行验收</w:t>
      </w:r>
      <w:r>
        <w:rPr>
          <w:rFonts w:asciiTheme="minorEastAsia" w:hAnsiTheme="minorEastAsia" w:eastAsiaTheme="minorEastAsia"/>
          <w:color w:val="000000"/>
        </w:rPr>
        <w:t>。</w:t>
      </w:r>
    </w:p>
    <w:p>
      <w:pPr>
        <w:spacing w:line="360" w:lineRule="auto"/>
        <w:rPr>
          <w:rFonts w:cs="宋体" w:asciiTheme="minorEastAsia" w:hAnsiTheme="minorEastAsia" w:eastAsiaTheme="minorEastAsia"/>
          <w:szCs w:val="21"/>
        </w:rPr>
      </w:pPr>
      <w:r>
        <w:rPr>
          <w:rFonts w:hint="eastAsia" w:asciiTheme="minorEastAsia" w:hAnsiTheme="minorEastAsia" w:eastAsiaTheme="minorEastAsia"/>
          <w:color w:val="000000"/>
        </w:rPr>
        <w:t>2、供应商需将所有设备的用户手册、保修手册、有关单证资料及配备件、随机工具等交付给采购人。</w:t>
      </w:r>
    </w:p>
    <w:p>
      <w:pPr>
        <w:spacing w:line="360" w:lineRule="auto"/>
        <w:rPr>
          <w:rFonts w:asciiTheme="minorEastAsia" w:hAnsiTheme="minorEastAsia" w:eastAsiaTheme="minorEastAsia"/>
        </w:rPr>
      </w:pPr>
      <w:r>
        <w:rPr>
          <w:rFonts w:hint="eastAsia" w:asciiTheme="minorEastAsia" w:hAnsiTheme="minorEastAsia" w:eastAsiaTheme="minorEastAsia"/>
          <w:color w:val="000000"/>
        </w:rPr>
        <w:t>3、</w:t>
      </w:r>
      <w:r>
        <w:rPr>
          <w:rFonts w:hint="eastAsia" w:asciiTheme="minorEastAsia" w:hAnsiTheme="minorEastAsia" w:eastAsiaTheme="minorEastAsia"/>
        </w:rPr>
        <w:t>项目</w:t>
      </w:r>
      <w:r>
        <w:rPr>
          <w:rFonts w:asciiTheme="minorEastAsia" w:hAnsiTheme="minorEastAsia" w:eastAsiaTheme="minorEastAsia"/>
        </w:rPr>
        <w:t>验收合格，凭</w:t>
      </w:r>
      <w:r>
        <w:rPr>
          <w:rFonts w:hint="eastAsia" w:asciiTheme="minorEastAsia" w:hAnsiTheme="minorEastAsia" w:eastAsiaTheme="minorEastAsia"/>
        </w:rPr>
        <w:t>供应商</w:t>
      </w:r>
      <w:r>
        <w:rPr>
          <w:rFonts w:asciiTheme="minorEastAsia" w:hAnsiTheme="minorEastAsia" w:eastAsiaTheme="minorEastAsia"/>
        </w:rPr>
        <w:t>开具的全额发票</w:t>
      </w:r>
      <w:r>
        <w:rPr>
          <w:rFonts w:hint="eastAsia" w:asciiTheme="minorEastAsia" w:hAnsiTheme="minorEastAsia" w:eastAsiaTheme="minorEastAsia"/>
        </w:rPr>
        <w:t>和验收资料</w:t>
      </w:r>
      <w:r>
        <w:rPr>
          <w:rFonts w:asciiTheme="minorEastAsia" w:hAnsiTheme="minorEastAsia" w:eastAsiaTheme="minorEastAsia"/>
        </w:rPr>
        <w:t>，</w:t>
      </w:r>
      <w:r>
        <w:rPr>
          <w:rFonts w:hint="eastAsia" w:asciiTheme="minorEastAsia" w:hAnsiTheme="minorEastAsia" w:eastAsiaTheme="minorEastAsia"/>
        </w:rPr>
        <w:t>采购</w:t>
      </w:r>
      <w:r>
        <w:rPr>
          <w:rFonts w:asciiTheme="minorEastAsia" w:hAnsiTheme="minorEastAsia" w:eastAsiaTheme="minorEastAsia"/>
        </w:rPr>
        <w:t>人于60</w:t>
      </w:r>
      <w:r>
        <w:rPr>
          <w:rFonts w:hint="eastAsia" w:asciiTheme="minorEastAsia" w:hAnsiTheme="minorEastAsia" w:eastAsiaTheme="minorEastAsia"/>
        </w:rPr>
        <w:t>个自然日</w:t>
      </w:r>
      <w:r>
        <w:rPr>
          <w:rFonts w:asciiTheme="minorEastAsia" w:hAnsiTheme="minorEastAsia" w:eastAsiaTheme="minorEastAsia"/>
        </w:rPr>
        <w:t>内支付</w:t>
      </w:r>
      <w:r>
        <w:rPr>
          <w:rFonts w:hint="eastAsia" w:asciiTheme="minorEastAsia" w:hAnsiTheme="minorEastAsia" w:eastAsiaTheme="minorEastAsia"/>
        </w:rPr>
        <w:t>合同款项。</w:t>
      </w:r>
    </w:p>
    <w:sectPr>
      <w:footerReference r:id="rId5" w:type="default"/>
      <w:pgSz w:w="11906" w:h="16838"/>
      <w:pgMar w:top="1440" w:right="1800" w:bottom="1440" w:left="1800" w:header="851" w:footer="992" w:gutter="0"/>
      <w:cols w:space="425" w:num="1"/>
      <w:docGrid w:type="lines" w:linePitch="312" w:charSpace="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comment w:id="0" w:author="1" w:date="2025-03-04T17:56:41Z" w:initials="1">
    <w:p w14:paraId="624B7FA4">
      <w:pPr>
        <w:pStyle w:val="7"/>
        <w:rPr>
          <w:rFonts w:hint="default" w:eastAsia="宋体"/>
          <w:lang w:val="en-US" w:eastAsia="zh-CN"/>
        </w:rPr>
      </w:pPr>
      <w:r>
        <w:rPr>
          <w:rFonts w:hint="eastAsia"/>
          <w:lang w:val="en-US" w:eastAsia="zh-CN"/>
        </w:rPr>
        <w:t>是否可以取整至0.1？</w:t>
      </w:r>
    </w:p>
  </w:comment>
  <w:comment w:id="1" w:author="1" w:date="2025-03-04T18:02:33Z" w:initials="1">
    <w:p w14:paraId="54C47FB6">
      <w:pPr>
        <w:pStyle w:val="7"/>
      </w:pPr>
      <w:r>
        <w:rPr>
          <w:rFonts w:hint="eastAsia"/>
          <w:lang w:val="en-US" w:eastAsia="zh-CN"/>
        </w:rPr>
        <w:t>是否考虑用星号？</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commentEx w15:paraId="624B7FA4" w15:done="0"/>
  <w15:commentEx w15:paraId="54C47FB6" w15:done="0"/>
</w15:commentsEx>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rPr>
        <w:b/>
      </w:rPr>
      <w:fldChar w:fldCharType="begin"/>
    </w:r>
    <w:r>
      <w:rPr>
        <w:b/>
      </w:rPr>
      <w:instrText xml:space="preserve">PAGE</w:instrText>
    </w:r>
    <w:r>
      <w:rPr>
        <w:b/>
      </w:rPr>
      <w:fldChar w:fldCharType="separate"/>
    </w:r>
    <w:r>
      <w:rPr>
        <w:b/>
      </w:rPr>
      <w:t>1</w:t>
    </w:r>
    <w:r>
      <w:rPr>
        <w:b/>
      </w:rPr>
      <w:fldChar w:fldCharType="end"/>
    </w:r>
    <w:r>
      <w:rPr>
        <w:lang w:val="zh-CN"/>
      </w:rPr>
      <w:t xml:space="preserve"> / </w:t>
    </w:r>
    <w:r>
      <w:rPr>
        <w:b/>
      </w:rPr>
      <w:fldChar w:fldCharType="begin"/>
    </w:r>
    <w:r>
      <w:rPr>
        <w:b/>
      </w:rPr>
      <w:instrText xml:space="preserve">NUMPAGES</w:instrText>
    </w:r>
    <w:r>
      <w:rPr>
        <w:b/>
      </w:rPr>
      <w:fldChar w:fldCharType="separate"/>
    </w:r>
    <w:r>
      <w:rPr>
        <w:b/>
      </w:rPr>
      <w:t>3</w:t>
    </w:r>
    <w:r>
      <w:rPr>
        <w:b/>
      </w:rPr>
      <w:fldChar w:fldCharType="end"/>
    </w:r>
  </w:p>
  <w:p>
    <w:pPr>
      <w:pStyle w:val="9"/>
    </w:pPr>
  </w:p>
</w:ftr>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1">
    <w15:presenceInfo w15:providerId="None" w15:userId="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oNotDisplayPageBoundaries w:val="1"/>
  <w:bordersDoNotSurroundHeader w:val="1"/>
  <w:bordersDoNotSurroundFooter w:val="1"/>
  <w:doNotTrackMoves/>
  <w:trackRevisions w:val="1"/>
  <w:documentProtection w:enforcement="0"/>
  <w:defaultTabStop w:val="420"/>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IzODU0MjAwOWUxMThhZjYxMGI0NTJhNTUzOGIwOTIifQ=="/>
  </w:docVars>
  <w:rsids>
    <w:rsidRoot w:val="006E384B"/>
    <w:rsid w:val="00003A55"/>
    <w:rsid w:val="00012E8F"/>
    <w:rsid w:val="000156C9"/>
    <w:rsid w:val="000211E6"/>
    <w:rsid w:val="00026BFE"/>
    <w:rsid w:val="000401D3"/>
    <w:rsid w:val="00040417"/>
    <w:rsid w:val="0004115B"/>
    <w:rsid w:val="00050180"/>
    <w:rsid w:val="00050EE0"/>
    <w:rsid w:val="00060880"/>
    <w:rsid w:val="000609A5"/>
    <w:rsid w:val="00062BE2"/>
    <w:rsid w:val="000648C2"/>
    <w:rsid w:val="000656F0"/>
    <w:rsid w:val="0007184A"/>
    <w:rsid w:val="00081FD9"/>
    <w:rsid w:val="00086879"/>
    <w:rsid w:val="000A075D"/>
    <w:rsid w:val="000A1DDD"/>
    <w:rsid w:val="000A3EB8"/>
    <w:rsid w:val="000A63A3"/>
    <w:rsid w:val="000B200F"/>
    <w:rsid w:val="000B434A"/>
    <w:rsid w:val="000B5AEC"/>
    <w:rsid w:val="000C1A22"/>
    <w:rsid w:val="000C296F"/>
    <w:rsid w:val="000C44AD"/>
    <w:rsid w:val="000C5973"/>
    <w:rsid w:val="000C5C14"/>
    <w:rsid w:val="000D0B76"/>
    <w:rsid w:val="000E0602"/>
    <w:rsid w:val="000E72F1"/>
    <w:rsid w:val="000E7E8C"/>
    <w:rsid w:val="000F188A"/>
    <w:rsid w:val="000F329A"/>
    <w:rsid w:val="000F4FD3"/>
    <w:rsid w:val="000F57FC"/>
    <w:rsid w:val="00100D32"/>
    <w:rsid w:val="00103DBF"/>
    <w:rsid w:val="001044C7"/>
    <w:rsid w:val="00106086"/>
    <w:rsid w:val="00115198"/>
    <w:rsid w:val="001252F7"/>
    <w:rsid w:val="00126C52"/>
    <w:rsid w:val="001317B0"/>
    <w:rsid w:val="0013287F"/>
    <w:rsid w:val="00136F8E"/>
    <w:rsid w:val="00140F07"/>
    <w:rsid w:val="001417C1"/>
    <w:rsid w:val="001470E0"/>
    <w:rsid w:val="00147B41"/>
    <w:rsid w:val="00147B8D"/>
    <w:rsid w:val="00162464"/>
    <w:rsid w:val="001725EC"/>
    <w:rsid w:val="001771EA"/>
    <w:rsid w:val="001908E4"/>
    <w:rsid w:val="00190CC9"/>
    <w:rsid w:val="00190F1A"/>
    <w:rsid w:val="001A3A7C"/>
    <w:rsid w:val="001A5AA0"/>
    <w:rsid w:val="001B392C"/>
    <w:rsid w:val="001B43C2"/>
    <w:rsid w:val="001B771E"/>
    <w:rsid w:val="001C64CE"/>
    <w:rsid w:val="001C6CC0"/>
    <w:rsid w:val="001D1B83"/>
    <w:rsid w:val="001D547C"/>
    <w:rsid w:val="001D7351"/>
    <w:rsid w:val="001E32BE"/>
    <w:rsid w:val="001E6BEB"/>
    <w:rsid w:val="001F214A"/>
    <w:rsid w:val="001F30C5"/>
    <w:rsid w:val="001F4D3B"/>
    <w:rsid w:val="001F52FB"/>
    <w:rsid w:val="001F5C19"/>
    <w:rsid w:val="001F63E1"/>
    <w:rsid w:val="001F7C64"/>
    <w:rsid w:val="002002C9"/>
    <w:rsid w:val="00206AC2"/>
    <w:rsid w:val="00206C8F"/>
    <w:rsid w:val="00211407"/>
    <w:rsid w:val="0021556F"/>
    <w:rsid w:val="00223CFE"/>
    <w:rsid w:val="002251EF"/>
    <w:rsid w:val="00225831"/>
    <w:rsid w:val="00227BD2"/>
    <w:rsid w:val="00231BC5"/>
    <w:rsid w:val="002336B8"/>
    <w:rsid w:val="00235A33"/>
    <w:rsid w:val="00236BCD"/>
    <w:rsid w:val="002403DE"/>
    <w:rsid w:val="00240B33"/>
    <w:rsid w:val="00246952"/>
    <w:rsid w:val="002511B7"/>
    <w:rsid w:val="00251C76"/>
    <w:rsid w:val="00254481"/>
    <w:rsid w:val="00257CB3"/>
    <w:rsid w:val="00262B06"/>
    <w:rsid w:val="00267BB1"/>
    <w:rsid w:val="00271584"/>
    <w:rsid w:val="00272615"/>
    <w:rsid w:val="00275A7F"/>
    <w:rsid w:val="0028001A"/>
    <w:rsid w:val="002852D0"/>
    <w:rsid w:val="002919AD"/>
    <w:rsid w:val="002945AA"/>
    <w:rsid w:val="002A3784"/>
    <w:rsid w:val="002C1DCF"/>
    <w:rsid w:val="002C6B84"/>
    <w:rsid w:val="002F2BCA"/>
    <w:rsid w:val="002F470C"/>
    <w:rsid w:val="002F663A"/>
    <w:rsid w:val="002F6FBF"/>
    <w:rsid w:val="003007D7"/>
    <w:rsid w:val="003013A1"/>
    <w:rsid w:val="0030175E"/>
    <w:rsid w:val="00301A4B"/>
    <w:rsid w:val="00301B99"/>
    <w:rsid w:val="00311679"/>
    <w:rsid w:val="00312009"/>
    <w:rsid w:val="00314312"/>
    <w:rsid w:val="00316432"/>
    <w:rsid w:val="00320D76"/>
    <w:rsid w:val="00324217"/>
    <w:rsid w:val="003242B5"/>
    <w:rsid w:val="00324E2D"/>
    <w:rsid w:val="003259EF"/>
    <w:rsid w:val="0033047E"/>
    <w:rsid w:val="00331720"/>
    <w:rsid w:val="00334C99"/>
    <w:rsid w:val="00337126"/>
    <w:rsid w:val="00341BB1"/>
    <w:rsid w:val="00347319"/>
    <w:rsid w:val="00353CCE"/>
    <w:rsid w:val="003566C0"/>
    <w:rsid w:val="00363D3C"/>
    <w:rsid w:val="003675A4"/>
    <w:rsid w:val="00372058"/>
    <w:rsid w:val="0037509F"/>
    <w:rsid w:val="003759CD"/>
    <w:rsid w:val="00375E88"/>
    <w:rsid w:val="00376CDB"/>
    <w:rsid w:val="003806F4"/>
    <w:rsid w:val="00385202"/>
    <w:rsid w:val="00385569"/>
    <w:rsid w:val="00386E72"/>
    <w:rsid w:val="00390347"/>
    <w:rsid w:val="0039283A"/>
    <w:rsid w:val="00393472"/>
    <w:rsid w:val="003964C6"/>
    <w:rsid w:val="00396D19"/>
    <w:rsid w:val="003974BF"/>
    <w:rsid w:val="003A1421"/>
    <w:rsid w:val="003A1A6A"/>
    <w:rsid w:val="003A2DE8"/>
    <w:rsid w:val="003B152A"/>
    <w:rsid w:val="003B29D4"/>
    <w:rsid w:val="003B75A6"/>
    <w:rsid w:val="003C002D"/>
    <w:rsid w:val="003C3562"/>
    <w:rsid w:val="003C7D48"/>
    <w:rsid w:val="003D1941"/>
    <w:rsid w:val="003D25D4"/>
    <w:rsid w:val="003D2651"/>
    <w:rsid w:val="003D30A6"/>
    <w:rsid w:val="003E755C"/>
    <w:rsid w:val="0040165C"/>
    <w:rsid w:val="00407EE7"/>
    <w:rsid w:val="00411422"/>
    <w:rsid w:val="00413DF0"/>
    <w:rsid w:val="00414EF7"/>
    <w:rsid w:val="00423751"/>
    <w:rsid w:val="004270DF"/>
    <w:rsid w:val="00427D53"/>
    <w:rsid w:val="00431CAB"/>
    <w:rsid w:val="0043473E"/>
    <w:rsid w:val="00434FEE"/>
    <w:rsid w:val="0044256C"/>
    <w:rsid w:val="004449BF"/>
    <w:rsid w:val="00447EC7"/>
    <w:rsid w:val="0045152C"/>
    <w:rsid w:val="004537DB"/>
    <w:rsid w:val="00453E9F"/>
    <w:rsid w:val="004551CA"/>
    <w:rsid w:val="00460841"/>
    <w:rsid w:val="00461147"/>
    <w:rsid w:val="004612D1"/>
    <w:rsid w:val="0046447A"/>
    <w:rsid w:val="00464646"/>
    <w:rsid w:val="00465888"/>
    <w:rsid w:val="004660ED"/>
    <w:rsid w:val="004716DC"/>
    <w:rsid w:val="004740C1"/>
    <w:rsid w:val="00481EE0"/>
    <w:rsid w:val="00482FAC"/>
    <w:rsid w:val="00483E2D"/>
    <w:rsid w:val="004851F4"/>
    <w:rsid w:val="004A077E"/>
    <w:rsid w:val="004A4D88"/>
    <w:rsid w:val="004A5F17"/>
    <w:rsid w:val="004A7685"/>
    <w:rsid w:val="004B7EA6"/>
    <w:rsid w:val="004D0604"/>
    <w:rsid w:val="004D6B9C"/>
    <w:rsid w:val="004D714A"/>
    <w:rsid w:val="004E4E07"/>
    <w:rsid w:val="004E6067"/>
    <w:rsid w:val="004F1B50"/>
    <w:rsid w:val="004F4E54"/>
    <w:rsid w:val="00504A3C"/>
    <w:rsid w:val="00511413"/>
    <w:rsid w:val="0051212A"/>
    <w:rsid w:val="00512E07"/>
    <w:rsid w:val="00516E17"/>
    <w:rsid w:val="00526C22"/>
    <w:rsid w:val="0053106E"/>
    <w:rsid w:val="005315BB"/>
    <w:rsid w:val="00541A8B"/>
    <w:rsid w:val="00554A7C"/>
    <w:rsid w:val="005558FF"/>
    <w:rsid w:val="0055660F"/>
    <w:rsid w:val="00556D00"/>
    <w:rsid w:val="00557841"/>
    <w:rsid w:val="00557AF4"/>
    <w:rsid w:val="0056193E"/>
    <w:rsid w:val="00567AE1"/>
    <w:rsid w:val="005705AD"/>
    <w:rsid w:val="005817C6"/>
    <w:rsid w:val="005834CE"/>
    <w:rsid w:val="00590133"/>
    <w:rsid w:val="00590B17"/>
    <w:rsid w:val="00596D2B"/>
    <w:rsid w:val="005A0A36"/>
    <w:rsid w:val="005A5AEC"/>
    <w:rsid w:val="005B3A30"/>
    <w:rsid w:val="005C6397"/>
    <w:rsid w:val="005E26A1"/>
    <w:rsid w:val="005E7C1F"/>
    <w:rsid w:val="005F175A"/>
    <w:rsid w:val="00602992"/>
    <w:rsid w:val="006112E3"/>
    <w:rsid w:val="00614542"/>
    <w:rsid w:val="006150AA"/>
    <w:rsid w:val="00623714"/>
    <w:rsid w:val="0062419F"/>
    <w:rsid w:val="00631FB6"/>
    <w:rsid w:val="00635E23"/>
    <w:rsid w:val="00636726"/>
    <w:rsid w:val="00641F29"/>
    <w:rsid w:val="00644395"/>
    <w:rsid w:val="00644B89"/>
    <w:rsid w:val="00646BA6"/>
    <w:rsid w:val="00651CE1"/>
    <w:rsid w:val="00652911"/>
    <w:rsid w:val="00655548"/>
    <w:rsid w:val="00671F8C"/>
    <w:rsid w:val="006720EC"/>
    <w:rsid w:val="006763AC"/>
    <w:rsid w:val="00676949"/>
    <w:rsid w:val="006804F5"/>
    <w:rsid w:val="00687FD7"/>
    <w:rsid w:val="006928E2"/>
    <w:rsid w:val="006937C9"/>
    <w:rsid w:val="006946A9"/>
    <w:rsid w:val="00694E76"/>
    <w:rsid w:val="006A1356"/>
    <w:rsid w:val="006A18DB"/>
    <w:rsid w:val="006A37A7"/>
    <w:rsid w:val="006A550C"/>
    <w:rsid w:val="006C09BC"/>
    <w:rsid w:val="006C2315"/>
    <w:rsid w:val="006C36D4"/>
    <w:rsid w:val="006C395A"/>
    <w:rsid w:val="006C45FD"/>
    <w:rsid w:val="006C4A1E"/>
    <w:rsid w:val="006C4B2E"/>
    <w:rsid w:val="006C60BB"/>
    <w:rsid w:val="006C7AC3"/>
    <w:rsid w:val="006D0AFC"/>
    <w:rsid w:val="006D38F3"/>
    <w:rsid w:val="006D7F03"/>
    <w:rsid w:val="006E0CBB"/>
    <w:rsid w:val="006E384B"/>
    <w:rsid w:val="006F731D"/>
    <w:rsid w:val="00704928"/>
    <w:rsid w:val="00715B8E"/>
    <w:rsid w:val="00716EEE"/>
    <w:rsid w:val="00723A71"/>
    <w:rsid w:val="00723BD5"/>
    <w:rsid w:val="00723ECE"/>
    <w:rsid w:val="0072483F"/>
    <w:rsid w:val="007321A9"/>
    <w:rsid w:val="00743E57"/>
    <w:rsid w:val="00744AFD"/>
    <w:rsid w:val="007471F8"/>
    <w:rsid w:val="007510B3"/>
    <w:rsid w:val="007515AD"/>
    <w:rsid w:val="007520BC"/>
    <w:rsid w:val="0075628B"/>
    <w:rsid w:val="00761A5E"/>
    <w:rsid w:val="00774CF0"/>
    <w:rsid w:val="00783D5E"/>
    <w:rsid w:val="00786F4C"/>
    <w:rsid w:val="00790422"/>
    <w:rsid w:val="00797CEC"/>
    <w:rsid w:val="007A07C9"/>
    <w:rsid w:val="007A1306"/>
    <w:rsid w:val="007A1A44"/>
    <w:rsid w:val="007A4C9C"/>
    <w:rsid w:val="007B0D80"/>
    <w:rsid w:val="007B2275"/>
    <w:rsid w:val="007B33A7"/>
    <w:rsid w:val="007B64B0"/>
    <w:rsid w:val="007D7C20"/>
    <w:rsid w:val="007F4827"/>
    <w:rsid w:val="007F6302"/>
    <w:rsid w:val="008027AE"/>
    <w:rsid w:val="00804208"/>
    <w:rsid w:val="008069AD"/>
    <w:rsid w:val="00806DEF"/>
    <w:rsid w:val="00815D7C"/>
    <w:rsid w:val="008210D3"/>
    <w:rsid w:val="0082713B"/>
    <w:rsid w:val="008301F3"/>
    <w:rsid w:val="00830C3B"/>
    <w:rsid w:val="00832C0E"/>
    <w:rsid w:val="00834C77"/>
    <w:rsid w:val="0084028C"/>
    <w:rsid w:val="00842C0F"/>
    <w:rsid w:val="00842ECF"/>
    <w:rsid w:val="008462D7"/>
    <w:rsid w:val="00856C53"/>
    <w:rsid w:val="00861917"/>
    <w:rsid w:val="00862A91"/>
    <w:rsid w:val="00862B90"/>
    <w:rsid w:val="00866831"/>
    <w:rsid w:val="00866C8F"/>
    <w:rsid w:val="00867370"/>
    <w:rsid w:val="00873CCE"/>
    <w:rsid w:val="00875E7D"/>
    <w:rsid w:val="008806A2"/>
    <w:rsid w:val="008905F7"/>
    <w:rsid w:val="008925A2"/>
    <w:rsid w:val="00893A4F"/>
    <w:rsid w:val="00894532"/>
    <w:rsid w:val="008A0E65"/>
    <w:rsid w:val="008A4B79"/>
    <w:rsid w:val="008B08B3"/>
    <w:rsid w:val="008B157B"/>
    <w:rsid w:val="008B31CF"/>
    <w:rsid w:val="008B5440"/>
    <w:rsid w:val="008B6514"/>
    <w:rsid w:val="008C0334"/>
    <w:rsid w:val="008C4B6B"/>
    <w:rsid w:val="008D1828"/>
    <w:rsid w:val="008E1634"/>
    <w:rsid w:val="008E35DF"/>
    <w:rsid w:val="008E3EB6"/>
    <w:rsid w:val="008E589B"/>
    <w:rsid w:val="008F4D06"/>
    <w:rsid w:val="008F4DBC"/>
    <w:rsid w:val="00902918"/>
    <w:rsid w:val="009122E4"/>
    <w:rsid w:val="009133F6"/>
    <w:rsid w:val="00930FC2"/>
    <w:rsid w:val="00941E85"/>
    <w:rsid w:val="00960F46"/>
    <w:rsid w:val="00961ED6"/>
    <w:rsid w:val="009660B8"/>
    <w:rsid w:val="0097057D"/>
    <w:rsid w:val="009708C2"/>
    <w:rsid w:val="009753E1"/>
    <w:rsid w:val="0098197F"/>
    <w:rsid w:val="0098457D"/>
    <w:rsid w:val="0098731F"/>
    <w:rsid w:val="00990E9A"/>
    <w:rsid w:val="00994317"/>
    <w:rsid w:val="00994B39"/>
    <w:rsid w:val="00996C0B"/>
    <w:rsid w:val="009A09B6"/>
    <w:rsid w:val="009A27C8"/>
    <w:rsid w:val="009C1C41"/>
    <w:rsid w:val="009C30A4"/>
    <w:rsid w:val="009C4453"/>
    <w:rsid w:val="009D064B"/>
    <w:rsid w:val="009D28F8"/>
    <w:rsid w:val="009D533A"/>
    <w:rsid w:val="009D6678"/>
    <w:rsid w:val="009D6F9A"/>
    <w:rsid w:val="009D7AB4"/>
    <w:rsid w:val="009E35CA"/>
    <w:rsid w:val="009E64ED"/>
    <w:rsid w:val="009E675E"/>
    <w:rsid w:val="009F06F3"/>
    <w:rsid w:val="009F4752"/>
    <w:rsid w:val="00A040B5"/>
    <w:rsid w:val="00A041D5"/>
    <w:rsid w:val="00A07949"/>
    <w:rsid w:val="00A100E0"/>
    <w:rsid w:val="00A130E2"/>
    <w:rsid w:val="00A13C28"/>
    <w:rsid w:val="00A15181"/>
    <w:rsid w:val="00A2065B"/>
    <w:rsid w:val="00A32576"/>
    <w:rsid w:val="00A33FC6"/>
    <w:rsid w:val="00A34BCA"/>
    <w:rsid w:val="00A42BC7"/>
    <w:rsid w:val="00A42DF2"/>
    <w:rsid w:val="00A46DC4"/>
    <w:rsid w:val="00A47B03"/>
    <w:rsid w:val="00A51E0E"/>
    <w:rsid w:val="00A5399B"/>
    <w:rsid w:val="00A543B3"/>
    <w:rsid w:val="00A5736A"/>
    <w:rsid w:val="00A61D13"/>
    <w:rsid w:val="00A6460D"/>
    <w:rsid w:val="00A66B75"/>
    <w:rsid w:val="00A710C5"/>
    <w:rsid w:val="00A740F7"/>
    <w:rsid w:val="00A74335"/>
    <w:rsid w:val="00A74D6A"/>
    <w:rsid w:val="00A82B22"/>
    <w:rsid w:val="00A8591D"/>
    <w:rsid w:val="00A95CA4"/>
    <w:rsid w:val="00A970D0"/>
    <w:rsid w:val="00A97A2D"/>
    <w:rsid w:val="00AA185A"/>
    <w:rsid w:val="00AA5186"/>
    <w:rsid w:val="00AA5D18"/>
    <w:rsid w:val="00AB2934"/>
    <w:rsid w:val="00AB330E"/>
    <w:rsid w:val="00AB73C2"/>
    <w:rsid w:val="00AB7938"/>
    <w:rsid w:val="00AC49CF"/>
    <w:rsid w:val="00AC5502"/>
    <w:rsid w:val="00AC6E11"/>
    <w:rsid w:val="00AD0E2C"/>
    <w:rsid w:val="00AD4ECC"/>
    <w:rsid w:val="00AE7E7E"/>
    <w:rsid w:val="00AF5FC2"/>
    <w:rsid w:val="00AF7B80"/>
    <w:rsid w:val="00B02751"/>
    <w:rsid w:val="00B02B8A"/>
    <w:rsid w:val="00B0414B"/>
    <w:rsid w:val="00B07BE3"/>
    <w:rsid w:val="00B127A4"/>
    <w:rsid w:val="00B13240"/>
    <w:rsid w:val="00B209B5"/>
    <w:rsid w:val="00B231F3"/>
    <w:rsid w:val="00B23432"/>
    <w:rsid w:val="00B24C23"/>
    <w:rsid w:val="00B25AA9"/>
    <w:rsid w:val="00B26120"/>
    <w:rsid w:val="00B273A8"/>
    <w:rsid w:val="00B27FDA"/>
    <w:rsid w:val="00B34FC3"/>
    <w:rsid w:val="00B450BF"/>
    <w:rsid w:val="00B5114C"/>
    <w:rsid w:val="00B544D0"/>
    <w:rsid w:val="00B56304"/>
    <w:rsid w:val="00B5707D"/>
    <w:rsid w:val="00B61A0C"/>
    <w:rsid w:val="00B63772"/>
    <w:rsid w:val="00B65B96"/>
    <w:rsid w:val="00B675C5"/>
    <w:rsid w:val="00B72163"/>
    <w:rsid w:val="00B72369"/>
    <w:rsid w:val="00B72C57"/>
    <w:rsid w:val="00B72E39"/>
    <w:rsid w:val="00B77DF1"/>
    <w:rsid w:val="00B800C1"/>
    <w:rsid w:val="00B8084D"/>
    <w:rsid w:val="00B85427"/>
    <w:rsid w:val="00B8727A"/>
    <w:rsid w:val="00B9182D"/>
    <w:rsid w:val="00B930F0"/>
    <w:rsid w:val="00B95D56"/>
    <w:rsid w:val="00B96D0E"/>
    <w:rsid w:val="00B974B3"/>
    <w:rsid w:val="00BA4CDF"/>
    <w:rsid w:val="00BA5AB7"/>
    <w:rsid w:val="00BB11D9"/>
    <w:rsid w:val="00BB2241"/>
    <w:rsid w:val="00BB23A1"/>
    <w:rsid w:val="00BB4BE3"/>
    <w:rsid w:val="00BB6C1E"/>
    <w:rsid w:val="00BC3BDC"/>
    <w:rsid w:val="00BD7EB0"/>
    <w:rsid w:val="00BD7FD9"/>
    <w:rsid w:val="00BE13BC"/>
    <w:rsid w:val="00BE2C5A"/>
    <w:rsid w:val="00BE3E96"/>
    <w:rsid w:val="00BF69AF"/>
    <w:rsid w:val="00C077BD"/>
    <w:rsid w:val="00C13AB5"/>
    <w:rsid w:val="00C170A3"/>
    <w:rsid w:val="00C20A6B"/>
    <w:rsid w:val="00C212E3"/>
    <w:rsid w:val="00C21823"/>
    <w:rsid w:val="00C22ED4"/>
    <w:rsid w:val="00C340C1"/>
    <w:rsid w:val="00C4094C"/>
    <w:rsid w:val="00C4501C"/>
    <w:rsid w:val="00C4779E"/>
    <w:rsid w:val="00C52CB3"/>
    <w:rsid w:val="00C57D6A"/>
    <w:rsid w:val="00C63F13"/>
    <w:rsid w:val="00C72B03"/>
    <w:rsid w:val="00C739AE"/>
    <w:rsid w:val="00C7534D"/>
    <w:rsid w:val="00C90330"/>
    <w:rsid w:val="00C9688E"/>
    <w:rsid w:val="00C96F33"/>
    <w:rsid w:val="00C97302"/>
    <w:rsid w:val="00CA320A"/>
    <w:rsid w:val="00CB177A"/>
    <w:rsid w:val="00CB40FD"/>
    <w:rsid w:val="00CB442F"/>
    <w:rsid w:val="00CC2983"/>
    <w:rsid w:val="00CC4288"/>
    <w:rsid w:val="00CC5F27"/>
    <w:rsid w:val="00CC6DE5"/>
    <w:rsid w:val="00CD3BF6"/>
    <w:rsid w:val="00CE00F4"/>
    <w:rsid w:val="00CE0AC8"/>
    <w:rsid w:val="00CE1496"/>
    <w:rsid w:val="00CE2AAA"/>
    <w:rsid w:val="00CE30D6"/>
    <w:rsid w:val="00CE3A24"/>
    <w:rsid w:val="00CE3E79"/>
    <w:rsid w:val="00CE457F"/>
    <w:rsid w:val="00CE6E12"/>
    <w:rsid w:val="00CF1266"/>
    <w:rsid w:val="00D103A4"/>
    <w:rsid w:val="00D11AB9"/>
    <w:rsid w:val="00D12C88"/>
    <w:rsid w:val="00D1617B"/>
    <w:rsid w:val="00D1688F"/>
    <w:rsid w:val="00D30629"/>
    <w:rsid w:val="00D44C81"/>
    <w:rsid w:val="00D45387"/>
    <w:rsid w:val="00D45864"/>
    <w:rsid w:val="00D52B97"/>
    <w:rsid w:val="00D55AD6"/>
    <w:rsid w:val="00D57B76"/>
    <w:rsid w:val="00D60E60"/>
    <w:rsid w:val="00D655F7"/>
    <w:rsid w:val="00D66A2A"/>
    <w:rsid w:val="00D70239"/>
    <w:rsid w:val="00D71738"/>
    <w:rsid w:val="00D7392C"/>
    <w:rsid w:val="00D77863"/>
    <w:rsid w:val="00D80ADB"/>
    <w:rsid w:val="00D85C8A"/>
    <w:rsid w:val="00D87BAA"/>
    <w:rsid w:val="00D87DEF"/>
    <w:rsid w:val="00D909BB"/>
    <w:rsid w:val="00D92EB3"/>
    <w:rsid w:val="00D9369E"/>
    <w:rsid w:val="00D94C07"/>
    <w:rsid w:val="00D95BB8"/>
    <w:rsid w:val="00DA1F4C"/>
    <w:rsid w:val="00DA2520"/>
    <w:rsid w:val="00DA5091"/>
    <w:rsid w:val="00DC6443"/>
    <w:rsid w:val="00DC753A"/>
    <w:rsid w:val="00DD137E"/>
    <w:rsid w:val="00DD428A"/>
    <w:rsid w:val="00DD43BC"/>
    <w:rsid w:val="00DD5006"/>
    <w:rsid w:val="00DD6997"/>
    <w:rsid w:val="00DE107F"/>
    <w:rsid w:val="00DE2768"/>
    <w:rsid w:val="00DE57A1"/>
    <w:rsid w:val="00DE5945"/>
    <w:rsid w:val="00DF4B06"/>
    <w:rsid w:val="00DF636B"/>
    <w:rsid w:val="00DF6CD1"/>
    <w:rsid w:val="00E03AA1"/>
    <w:rsid w:val="00E044CB"/>
    <w:rsid w:val="00E074CF"/>
    <w:rsid w:val="00E20101"/>
    <w:rsid w:val="00E22648"/>
    <w:rsid w:val="00E30BFC"/>
    <w:rsid w:val="00E31E36"/>
    <w:rsid w:val="00E336B8"/>
    <w:rsid w:val="00E55B75"/>
    <w:rsid w:val="00E565FE"/>
    <w:rsid w:val="00E60612"/>
    <w:rsid w:val="00E61538"/>
    <w:rsid w:val="00E615AE"/>
    <w:rsid w:val="00E627D0"/>
    <w:rsid w:val="00E631B4"/>
    <w:rsid w:val="00E632FA"/>
    <w:rsid w:val="00E661D3"/>
    <w:rsid w:val="00E70C20"/>
    <w:rsid w:val="00E73478"/>
    <w:rsid w:val="00E908CC"/>
    <w:rsid w:val="00E94D0F"/>
    <w:rsid w:val="00E953B0"/>
    <w:rsid w:val="00EA07F3"/>
    <w:rsid w:val="00EA3F2C"/>
    <w:rsid w:val="00EA4AC8"/>
    <w:rsid w:val="00EA4BC4"/>
    <w:rsid w:val="00EA6A14"/>
    <w:rsid w:val="00EA76E2"/>
    <w:rsid w:val="00EB2F0C"/>
    <w:rsid w:val="00EB337B"/>
    <w:rsid w:val="00EB5B82"/>
    <w:rsid w:val="00EB644C"/>
    <w:rsid w:val="00EB6FC9"/>
    <w:rsid w:val="00EC1018"/>
    <w:rsid w:val="00EC60F4"/>
    <w:rsid w:val="00EC7627"/>
    <w:rsid w:val="00EC77DA"/>
    <w:rsid w:val="00EC7F8E"/>
    <w:rsid w:val="00ED1670"/>
    <w:rsid w:val="00ED2E5E"/>
    <w:rsid w:val="00ED3293"/>
    <w:rsid w:val="00ED62C1"/>
    <w:rsid w:val="00ED6496"/>
    <w:rsid w:val="00ED791B"/>
    <w:rsid w:val="00EE3EBA"/>
    <w:rsid w:val="00EE48BF"/>
    <w:rsid w:val="00EE6BBF"/>
    <w:rsid w:val="00EF1D99"/>
    <w:rsid w:val="00EF4AA4"/>
    <w:rsid w:val="00EF5861"/>
    <w:rsid w:val="00F06431"/>
    <w:rsid w:val="00F077E4"/>
    <w:rsid w:val="00F12A0F"/>
    <w:rsid w:val="00F13181"/>
    <w:rsid w:val="00F14821"/>
    <w:rsid w:val="00F20AA8"/>
    <w:rsid w:val="00F25BE4"/>
    <w:rsid w:val="00F3187E"/>
    <w:rsid w:val="00F336A2"/>
    <w:rsid w:val="00F3375B"/>
    <w:rsid w:val="00F42036"/>
    <w:rsid w:val="00F43BDF"/>
    <w:rsid w:val="00F44299"/>
    <w:rsid w:val="00F478A5"/>
    <w:rsid w:val="00F5518B"/>
    <w:rsid w:val="00F571CC"/>
    <w:rsid w:val="00F63FDC"/>
    <w:rsid w:val="00F65EE2"/>
    <w:rsid w:val="00F7400D"/>
    <w:rsid w:val="00F76628"/>
    <w:rsid w:val="00F77BF2"/>
    <w:rsid w:val="00F811B7"/>
    <w:rsid w:val="00F825A2"/>
    <w:rsid w:val="00F848F7"/>
    <w:rsid w:val="00F9091B"/>
    <w:rsid w:val="00F94CD2"/>
    <w:rsid w:val="00F94FC6"/>
    <w:rsid w:val="00F95766"/>
    <w:rsid w:val="00FA3A49"/>
    <w:rsid w:val="00FA3A83"/>
    <w:rsid w:val="00FB544A"/>
    <w:rsid w:val="00FB5662"/>
    <w:rsid w:val="00FB7B39"/>
    <w:rsid w:val="00FC07E6"/>
    <w:rsid w:val="00FC0F55"/>
    <w:rsid w:val="00FD7B94"/>
    <w:rsid w:val="00FE395D"/>
    <w:rsid w:val="00FE3AC0"/>
    <w:rsid w:val="00FE4547"/>
    <w:rsid w:val="00FF21C2"/>
    <w:rsid w:val="00FF5903"/>
    <w:rsid w:val="00FF638B"/>
    <w:rsid w:val="012A5EA2"/>
    <w:rsid w:val="0CC467AE"/>
    <w:rsid w:val="15877EE5"/>
    <w:rsid w:val="17D446F9"/>
    <w:rsid w:val="1B832932"/>
    <w:rsid w:val="1E097E2D"/>
    <w:rsid w:val="20FC4A4D"/>
    <w:rsid w:val="216B57DA"/>
    <w:rsid w:val="27184774"/>
    <w:rsid w:val="308E426C"/>
    <w:rsid w:val="33202FF1"/>
    <w:rsid w:val="3321695C"/>
    <w:rsid w:val="33C653A6"/>
    <w:rsid w:val="3547008D"/>
    <w:rsid w:val="381F7624"/>
    <w:rsid w:val="39A51F2F"/>
    <w:rsid w:val="40A0340C"/>
    <w:rsid w:val="50686F26"/>
    <w:rsid w:val="50D00623"/>
    <w:rsid w:val="5BCD3F74"/>
    <w:rsid w:val="5C7727E9"/>
    <w:rsid w:val="613F4D77"/>
    <w:rsid w:val="61960834"/>
    <w:rsid w:val="697B3AC8"/>
    <w:rsid w:val="729F6AB6"/>
    <w:rsid w:val="73A23CF3"/>
    <w:rsid w:val="74014D3F"/>
    <w:rsid w:val="79805345"/>
    <w:rsid w:val="79BD693B"/>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nhideWhenUsed="0" w:uiPriority="99" w:semiHidden="0" w:name="heading 4"/>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semiHidden="0" w:name="Default Paragraph Font"/>
    <w:lsdException w:qFormat="1" w:uiPriority="99"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qFormat="1" w:unhideWhenUsed="0"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5"/>
    <w:qFormat/>
    <w:uiPriority w:val="99"/>
    <w:pPr>
      <w:keepNext/>
      <w:keepLines/>
      <w:spacing w:before="340" w:after="330" w:line="578" w:lineRule="auto"/>
      <w:outlineLvl w:val="0"/>
    </w:pPr>
    <w:rPr>
      <w:b/>
      <w:bCs/>
      <w:kern w:val="44"/>
      <w:sz w:val="44"/>
      <w:szCs w:val="44"/>
    </w:rPr>
  </w:style>
  <w:style w:type="paragraph" w:styleId="4">
    <w:name w:val="heading 2"/>
    <w:basedOn w:val="1"/>
    <w:next w:val="1"/>
    <w:link w:val="16"/>
    <w:qFormat/>
    <w:uiPriority w:val="99"/>
    <w:pPr>
      <w:keepNext/>
      <w:keepLines/>
      <w:spacing w:before="260" w:after="260" w:line="416" w:lineRule="auto"/>
      <w:outlineLvl w:val="1"/>
    </w:pPr>
    <w:rPr>
      <w:rFonts w:ascii="Cambria" w:hAnsi="Cambria"/>
      <w:b/>
      <w:bCs/>
      <w:sz w:val="32"/>
      <w:szCs w:val="32"/>
    </w:rPr>
  </w:style>
  <w:style w:type="paragraph" w:styleId="5">
    <w:name w:val="heading 3"/>
    <w:basedOn w:val="1"/>
    <w:next w:val="1"/>
    <w:link w:val="17"/>
    <w:qFormat/>
    <w:uiPriority w:val="99"/>
    <w:pPr>
      <w:keepNext/>
      <w:keepLines/>
      <w:spacing w:before="260" w:after="260" w:line="416" w:lineRule="auto"/>
      <w:outlineLvl w:val="2"/>
    </w:pPr>
    <w:rPr>
      <w:b/>
      <w:bCs/>
      <w:sz w:val="32"/>
      <w:szCs w:val="32"/>
    </w:rPr>
  </w:style>
  <w:style w:type="paragraph" w:styleId="6">
    <w:name w:val="heading 4"/>
    <w:basedOn w:val="1"/>
    <w:next w:val="1"/>
    <w:link w:val="18"/>
    <w:qFormat/>
    <w:uiPriority w:val="99"/>
    <w:pPr>
      <w:keepNext/>
      <w:keepLines/>
      <w:spacing w:before="280" w:after="290" w:line="376" w:lineRule="auto"/>
      <w:outlineLvl w:val="3"/>
    </w:pPr>
    <w:rPr>
      <w:rFonts w:ascii="Cambria" w:hAnsi="Cambria"/>
      <w:b/>
      <w:bCs/>
      <w:sz w:val="28"/>
      <w:szCs w:val="28"/>
    </w:rPr>
  </w:style>
  <w:style w:type="character" w:default="1" w:styleId="14">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2">
    <w:name w:val="Body Text"/>
    <w:basedOn w:val="1"/>
    <w:next w:val="1"/>
    <w:unhideWhenUsed/>
    <w:qFormat/>
    <w:uiPriority w:val="99"/>
    <w:pPr>
      <w:spacing w:after="120"/>
    </w:pPr>
  </w:style>
  <w:style w:type="paragraph" w:styleId="7">
    <w:name w:val="annotation text"/>
    <w:basedOn w:val="1"/>
    <w:semiHidden/>
    <w:unhideWhenUsed/>
    <w:uiPriority w:val="99"/>
    <w:pPr>
      <w:jc w:val="left"/>
    </w:pPr>
  </w:style>
  <w:style w:type="paragraph" w:styleId="8">
    <w:name w:val="Date"/>
    <w:basedOn w:val="1"/>
    <w:next w:val="1"/>
    <w:link w:val="19"/>
    <w:semiHidden/>
    <w:qFormat/>
    <w:uiPriority w:val="99"/>
    <w:pPr>
      <w:ind w:left="100" w:leftChars="2500"/>
    </w:pPr>
  </w:style>
  <w:style w:type="paragraph" w:styleId="9">
    <w:name w:val="footer"/>
    <w:basedOn w:val="1"/>
    <w:link w:val="20"/>
    <w:qFormat/>
    <w:uiPriority w:val="99"/>
    <w:pPr>
      <w:tabs>
        <w:tab w:val="center" w:pos="4153"/>
        <w:tab w:val="right" w:pos="8306"/>
      </w:tabs>
      <w:snapToGrid w:val="0"/>
      <w:jc w:val="left"/>
    </w:pPr>
    <w:rPr>
      <w:sz w:val="18"/>
      <w:szCs w:val="18"/>
    </w:rPr>
  </w:style>
  <w:style w:type="paragraph" w:styleId="10">
    <w:name w:val="header"/>
    <w:basedOn w:val="1"/>
    <w:link w:val="21"/>
    <w:semiHidden/>
    <w:qFormat/>
    <w:uiPriority w:val="99"/>
    <w:pPr>
      <w:pBdr>
        <w:bottom w:val="single" w:color="auto" w:sz="6" w:space="1"/>
      </w:pBdr>
      <w:tabs>
        <w:tab w:val="center" w:pos="4153"/>
        <w:tab w:val="right" w:pos="8306"/>
      </w:tabs>
      <w:snapToGrid w:val="0"/>
      <w:jc w:val="center"/>
    </w:pPr>
    <w:rPr>
      <w:sz w:val="18"/>
      <w:szCs w:val="18"/>
    </w:rPr>
  </w:style>
  <w:style w:type="paragraph" w:styleId="11">
    <w:name w:val="Normal (Web)"/>
    <w:basedOn w:val="1"/>
    <w:qFormat/>
    <w:uiPriority w:val="0"/>
    <w:pPr>
      <w:spacing w:before="100" w:beforeAutospacing="1" w:after="100" w:afterAutospacing="1"/>
      <w:jc w:val="left"/>
    </w:pPr>
    <w:rPr>
      <w:kern w:val="0"/>
      <w:sz w:val="24"/>
      <w:szCs w:val="24"/>
    </w:rPr>
  </w:style>
  <w:style w:type="table" w:styleId="13">
    <w:name w:val="Table Grid"/>
    <w:basedOn w:val="12"/>
    <w:qFormat/>
    <w:uiPriority w:val="99"/>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customStyle="1" w:styleId="15">
    <w:name w:val="标题 1 字符"/>
    <w:link w:val="3"/>
    <w:qFormat/>
    <w:locked/>
    <w:uiPriority w:val="99"/>
    <w:rPr>
      <w:rFonts w:cs="Times New Roman"/>
      <w:b/>
      <w:bCs/>
      <w:kern w:val="44"/>
      <w:sz w:val="44"/>
      <w:szCs w:val="44"/>
    </w:rPr>
  </w:style>
  <w:style w:type="character" w:customStyle="1" w:styleId="16">
    <w:name w:val="标题 2 字符"/>
    <w:link w:val="4"/>
    <w:qFormat/>
    <w:locked/>
    <w:uiPriority w:val="99"/>
    <w:rPr>
      <w:rFonts w:ascii="Cambria" w:hAnsi="Cambria" w:eastAsia="宋体" w:cs="Times New Roman"/>
      <w:b/>
      <w:bCs/>
      <w:sz w:val="32"/>
      <w:szCs w:val="32"/>
    </w:rPr>
  </w:style>
  <w:style w:type="character" w:customStyle="1" w:styleId="17">
    <w:name w:val="标题 3 字符"/>
    <w:link w:val="5"/>
    <w:qFormat/>
    <w:locked/>
    <w:uiPriority w:val="99"/>
    <w:rPr>
      <w:rFonts w:cs="Times New Roman"/>
      <w:b/>
      <w:bCs/>
      <w:sz w:val="32"/>
      <w:szCs w:val="32"/>
    </w:rPr>
  </w:style>
  <w:style w:type="character" w:customStyle="1" w:styleId="18">
    <w:name w:val="标题 4 字符"/>
    <w:link w:val="6"/>
    <w:qFormat/>
    <w:locked/>
    <w:uiPriority w:val="99"/>
    <w:rPr>
      <w:rFonts w:ascii="Cambria" w:hAnsi="Cambria" w:eastAsia="宋体" w:cs="Times New Roman"/>
      <w:b/>
      <w:bCs/>
      <w:sz w:val="28"/>
      <w:szCs w:val="28"/>
    </w:rPr>
  </w:style>
  <w:style w:type="character" w:customStyle="1" w:styleId="19">
    <w:name w:val="日期 字符"/>
    <w:link w:val="8"/>
    <w:semiHidden/>
    <w:qFormat/>
    <w:locked/>
    <w:uiPriority w:val="99"/>
    <w:rPr>
      <w:rFonts w:cs="Times New Roman"/>
    </w:rPr>
  </w:style>
  <w:style w:type="character" w:customStyle="1" w:styleId="20">
    <w:name w:val="页脚 字符"/>
    <w:link w:val="9"/>
    <w:qFormat/>
    <w:locked/>
    <w:uiPriority w:val="99"/>
    <w:rPr>
      <w:rFonts w:cs="Times New Roman"/>
      <w:sz w:val="18"/>
      <w:szCs w:val="18"/>
    </w:rPr>
  </w:style>
  <w:style w:type="character" w:customStyle="1" w:styleId="21">
    <w:name w:val="页眉 字符"/>
    <w:link w:val="10"/>
    <w:semiHidden/>
    <w:qFormat/>
    <w:locked/>
    <w:uiPriority w:val="99"/>
    <w:rPr>
      <w:rFonts w:cs="Times New Roman"/>
      <w:sz w:val="18"/>
      <w:szCs w:val="18"/>
    </w:rPr>
  </w:style>
  <w:style w:type="paragraph" w:customStyle="1" w:styleId="22">
    <w:name w:val="List Paragraph"/>
    <w:basedOn w:val="1"/>
    <w:qFormat/>
    <w:uiPriority w:val="34"/>
    <w:pPr>
      <w:ind w:firstLine="420" w:firstLineChars="200"/>
    </w:pPr>
  </w:style>
  <w:style w:type="character" w:customStyle="1" w:styleId="23">
    <w:name w:val="font41"/>
    <w:basedOn w:val="14"/>
    <w:qFormat/>
    <w:uiPriority w:val="0"/>
    <w:rPr>
      <w:rFonts w:ascii="Calibri" w:hAnsi="Calibri" w:cs="Calibri"/>
      <w:color w:val="000000"/>
      <w:sz w:val="21"/>
      <w:szCs w:val="21"/>
      <w:u w:val="none"/>
    </w:rPr>
  </w:style>
  <w:style w:type="character" w:customStyle="1" w:styleId="24">
    <w:name w:val="font31"/>
    <w:basedOn w:val="14"/>
    <w:qFormat/>
    <w:uiPriority w:val="0"/>
    <w:rPr>
      <w:rFonts w:hint="eastAsia" w:ascii="宋体" w:hAnsi="宋体" w:eastAsia="宋体" w:cs="宋体"/>
      <w:color w:val="000000"/>
      <w:sz w:val="20"/>
      <w:szCs w:val="20"/>
      <w:u w:val="none"/>
    </w:rPr>
  </w:style>
</w:styles>
</file>

<file path=word/_rels/document.xml.rels><?xml version="1.0" encoding="UTF-8" standalone="yes"?>
<Relationships xmlns="http://schemas.openxmlformats.org/package/2006/relationships"><Relationship Id="rId9" Type="http://schemas.microsoft.com/office/2011/relationships/people" Target="people.xml"/><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1.xml"/><Relationship Id="rId4" Type="http://schemas.microsoft.com/office/2011/relationships/commentsExtended" Target="commentsExtended.xml"/><Relationship Id="rId3" Type="http://schemas.openxmlformats.org/officeDocument/2006/relationships/comments" Target="comment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5</Pages>
  <Words>3837</Words>
  <Characters>4141</Characters>
  <Lines>15</Lines>
  <Paragraphs>4</Paragraphs>
  <TotalTime>1</TotalTime>
  <ScaleCrop>false</ScaleCrop>
  <LinksUpToDate>false</LinksUpToDate>
  <CharactersWithSpaces>4176</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2023-12-14T01:47:00Z</dcterms:created>
  <dc:creator>xz1</dc:creator>
  <cp:lastModifiedBy>1</cp:lastModifiedBy>
  <cp:lastPrinted>2023-12-14T10:29:00Z</cp:lastPrinted>
  <dcterms:modified xsi:type="dcterms:W3CDTF">2025-03-10T07:38:10Z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20DA6375B317452BB90633B374CB9196_13</vt:lpwstr>
  </property>
  <property fmtid="{D5CDD505-2E9C-101B-9397-08002B2CF9AE}" pid="4" name="KSOTemplateDocerSaveRecord">
    <vt:lpwstr>eyJoZGlkIjoiMzVlNjk2OWE1YTk2NzBjNDBmOTJhYjc4MjZmOGNhZjAiLCJ1c2VySWQiOiIxMTA1MTk3NDc3In0=</vt:lpwstr>
  </property>
</Properties>
</file>