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A844">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tbl>
      <w:tblPr>
        <w:tblStyle w:val="7"/>
        <w:tblW w:w="10206" w:type="dxa"/>
        <w:tblInd w:w="250" w:type="dxa"/>
        <w:tblLayout w:type="autofit"/>
        <w:tblCellMar>
          <w:top w:w="0" w:type="dxa"/>
          <w:left w:w="108" w:type="dxa"/>
          <w:bottom w:w="0" w:type="dxa"/>
          <w:right w:w="108" w:type="dxa"/>
        </w:tblCellMar>
      </w:tblPr>
      <w:tblGrid>
        <w:gridCol w:w="2693"/>
        <w:gridCol w:w="7513"/>
      </w:tblGrid>
      <w:tr w14:paraId="34D9BD01">
        <w:tblPrEx>
          <w:tblCellMar>
            <w:top w:w="0" w:type="dxa"/>
            <w:left w:w="108" w:type="dxa"/>
            <w:bottom w:w="0" w:type="dxa"/>
            <w:right w:w="108" w:type="dxa"/>
          </w:tblCellMar>
        </w:tblPrEx>
        <w:trPr>
          <w:trHeight w:val="855" w:hRule="atLeast"/>
        </w:trPr>
        <w:tc>
          <w:tcPr>
            <w:tcW w:w="10206" w:type="dxa"/>
            <w:gridSpan w:val="2"/>
            <w:tcBorders>
              <w:top w:val="nil"/>
              <w:left w:val="nil"/>
              <w:bottom w:val="nil"/>
              <w:right w:val="nil"/>
            </w:tcBorders>
            <w:shd w:val="clear" w:color="auto" w:fill="auto"/>
            <w:vAlign w:val="center"/>
          </w:tcPr>
          <w:p w14:paraId="4F1B6EE0">
            <w:pPr>
              <w:widowControl/>
              <w:jc w:val="center"/>
              <w:rPr>
                <w:rFonts w:ascii="等线" w:hAnsi="等线" w:eastAsia="等线" w:cs="宋体"/>
                <w:color w:val="000000"/>
                <w:kern w:val="0"/>
                <w:sz w:val="36"/>
                <w:szCs w:val="36"/>
              </w:rPr>
            </w:pPr>
            <w:r>
              <w:rPr>
                <w:rFonts w:hint="eastAsia" w:ascii="宋体" w:hAnsi="宋体" w:eastAsia="宋体" w:cs="宋体"/>
                <w:color w:val="000000"/>
                <w:kern w:val="0"/>
                <w:sz w:val="36"/>
                <w:szCs w:val="36"/>
                <w:lang w:val="en-US" w:eastAsia="zh-CN"/>
              </w:rPr>
              <w:t>丘脑皮质动力学ABCD脑软件项目</w:t>
            </w:r>
            <w:r>
              <w:rPr>
                <w:rFonts w:hint="eastAsia" w:ascii="宋体" w:hAnsi="宋体" w:eastAsia="宋体" w:cs="宋体"/>
                <w:color w:val="000000"/>
                <w:kern w:val="0"/>
                <w:sz w:val="36"/>
                <w:szCs w:val="36"/>
              </w:rPr>
              <w:t>采购需求表</w:t>
            </w:r>
          </w:p>
        </w:tc>
      </w:tr>
      <w:tr w14:paraId="2DC3E5A1">
        <w:tblPrEx>
          <w:tblCellMar>
            <w:top w:w="0" w:type="dxa"/>
            <w:left w:w="108" w:type="dxa"/>
            <w:bottom w:w="0" w:type="dxa"/>
            <w:right w:w="108" w:type="dxa"/>
          </w:tblCellMar>
        </w:tblPrEx>
        <w:trPr>
          <w:trHeight w:val="555"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08043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项目名称</w:t>
            </w:r>
          </w:p>
        </w:tc>
        <w:tc>
          <w:tcPr>
            <w:tcW w:w="7513" w:type="dxa"/>
            <w:tcBorders>
              <w:top w:val="single" w:color="auto" w:sz="4" w:space="0"/>
              <w:left w:val="nil"/>
              <w:bottom w:val="single" w:color="auto" w:sz="4" w:space="0"/>
              <w:right w:val="single" w:color="auto" w:sz="4" w:space="0"/>
            </w:tcBorders>
            <w:shd w:val="clear" w:color="auto" w:fill="auto"/>
            <w:vAlign w:val="center"/>
          </w:tcPr>
          <w:p w14:paraId="6615E59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丘脑皮质动力学ABCD脑软件</w:t>
            </w:r>
          </w:p>
        </w:tc>
      </w:tr>
      <w:tr w14:paraId="106A58C3">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A3CEE9D">
            <w:pPr>
              <w:widowControl/>
              <w:jc w:val="center"/>
              <w:rPr>
                <w:rFonts w:ascii="等线" w:hAnsi="等线" w:eastAsia="等线" w:cs="宋体"/>
                <w:color w:val="000000"/>
                <w:kern w:val="0"/>
                <w:sz w:val="22"/>
              </w:rPr>
            </w:pPr>
            <w:bookmarkStart w:id="0" w:name="_GoBack"/>
            <w:bookmarkEnd w:id="0"/>
            <w:r>
              <w:rPr>
                <w:rFonts w:hint="eastAsia" w:ascii="等线" w:hAnsi="等线" w:eastAsia="等线" w:cs="宋体"/>
                <w:color w:val="000000"/>
                <w:kern w:val="0"/>
                <w:sz w:val="22"/>
              </w:rPr>
              <w:t>采购数量</w:t>
            </w:r>
          </w:p>
        </w:tc>
        <w:tc>
          <w:tcPr>
            <w:tcW w:w="7513" w:type="dxa"/>
            <w:tcBorders>
              <w:top w:val="nil"/>
              <w:left w:val="nil"/>
              <w:bottom w:val="single" w:color="auto" w:sz="4" w:space="0"/>
              <w:right w:val="single" w:color="auto" w:sz="4" w:space="0"/>
            </w:tcBorders>
            <w:shd w:val="clear" w:color="auto" w:fill="auto"/>
            <w:vAlign w:val="center"/>
          </w:tcPr>
          <w:p w14:paraId="6B7EC7D4">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1套</w:t>
            </w:r>
          </w:p>
        </w:tc>
      </w:tr>
      <w:tr w14:paraId="2186856A">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16D270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预算总金额</w:t>
            </w:r>
          </w:p>
        </w:tc>
        <w:tc>
          <w:tcPr>
            <w:tcW w:w="7513" w:type="dxa"/>
            <w:tcBorders>
              <w:top w:val="nil"/>
              <w:left w:val="nil"/>
              <w:bottom w:val="single" w:color="auto" w:sz="4" w:space="0"/>
              <w:right w:val="single" w:color="auto" w:sz="4" w:space="0"/>
            </w:tcBorders>
            <w:shd w:val="clear" w:color="auto" w:fill="auto"/>
            <w:vAlign w:val="center"/>
          </w:tcPr>
          <w:p w14:paraId="47971939">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35万元</w:t>
            </w:r>
          </w:p>
        </w:tc>
      </w:tr>
      <w:tr w14:paraId="0A198E4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55A98">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项目采购需求及参数</w:t>
            </w:r>
          </w:p>
        </w:tc>
      </w:tr>
      <w:tr w14:paraId="7B2080FF">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9674BC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一、技术要求</w:t>
            </w:r>
          </w:p>
        </w:tc>
      </w:tr>
      <w:tr w14:paraId="726F74F8">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6869F110">
            <w:pPr>
              <w:rPr>
                <w:rFonts w:hint="eastAsia"/>
              </w:rPr>
            </w:pPr>
            <w:r>
              <w:rPr>
                <w:rFonts w:hint="eastAsia"/>
                <w:lang w:eastAsia="zh-CN"/>
              </w:rPr>
              <w:t>（</w:t>
            </w:r>
            <w:r>
              <w:rPr>
                <w:rFonts w:hint="eastAsia"/>
                <w:lang w:val="en-US" w:eastAsia="zh-CN"/>
              </w:rPr>
              <w:t>一</w:t>
            </w:r>
            <w:r>
              <w:rPr>
                <w:rFonts w:hint="eastAsia"/>
                <w:lang w:eastAsia="zh-CN"/>
              </w:rPr>
              <w:t>）</w:t>
            </w:r>
            <w:r>
              <w:rPr>
                <w:rFonts w:hint="eastAsia"/>
              </w:rPr>
              <w:t>核心功能需求</w:t>
            </w:r>
          </w:p>
          <w:p w14:paraId="72066978">
            <w:pPr>
              <w:rPr>
                <w:rFonts w:hint="eastAsia"/>
              </w:rPr>
            </w:pPr>
            <w:r>
              <w:rPr>
                <w:rFonts w:hint="eastAsia"/>
              </w:rPr>
              <w:t>1.神经功能预后评估模块</w:t>
            </w:r>
          </w:p>
          <w:p w14:paraId="2F259FE3">
            <w:pPr>
              <w:rPr>
                <w:rFonts w:hint="eastAsia"/>
              </w:rPr>
            </w:pPr>
            <w:r>
              <w:rPr>
                <w:rFonts w:hint="eastAsia"/>
              </w:rPr>
              <w:t>支持对重症癫痫患者及意识障碍患者的神经电生理数据（如脑电图、阿尔法峰频率、脑皮质动力学）进行自动化分析。提供多维度评估指标：</w:t>
            </w:r>
            <w:r>
              <w:rPr>
                <w:rFonts w:hint="eastAsia"/>
                <w:lang w:val="en-US" w:eastAsia="zh-CN"/>
              </w:rPr>
              <w:t>1.</w:t>
            </w:r>
            <w:r>
              <w:rPr>
                <w:rFonts w:hint="eastAsia"/>
              </w:rPr>
              <w:t>意识深度监测（基于国际标准如CRS-R评分）</w:t>
            </w:r>
            <w:r>
              <w:rPr>
                <w:rFonts w:hint="eastAsia"/>
                <w:lang w:eastAsia="zh-CN"/>
              </w:rPr>
              <w:t>；</w:t>
            </w:r>
            <w:r>
              <w:rPr>
                <w:rFonts w:hint="eastAsia"/>
                <w:lang w:val="en-US" w:eastAsia="zh-CN"/>
              </w:rPr>
              <w:t>2.</w:t>
            </w:r>
            <w:r>
              <w:rPr>
                <w:rFonts w:hint="eastAsia"/>
              </w:rPr>
              <w:t>癫痫发作模式识别与预警（动态脑电图异常波检测）</w:t>
            </w:r>
            <w:r>
              <w:rPr>
                <w:rFonts w:hint="eastAsia"/>
                <w:lang w:eastAsia="zh-CN"/>
              </w:rPr>
              <w:t>；</w:t>
            </w:r>
            <w:r>
              <w:rPr>
                <w:rFonts w:hint="eastAsia"/>
                <w:lang w:val="en-US" w:eastAsia="zh-CN"/>
              </w:rPr>
              <w:t>3.</w:t>
            </w:r>
            <w:r>
              <w:rPr>
                <w:rFonts w:hint="eastAsia"/>
              </w:rPr>
              <w:t xml:space="preserve">预后预测模型（基于机器学习算法，结合临床数据生成风险分层报告）。  </w:t>
            </w:r>
          </w:p>
          <w:p w14:paraId="2FA0A4BD">
            <w:pPr>
              <w:rPr>
                <w:rFonts w:hint="eastAsia"/>
              </w:rPr>
            </w:pPr>
            <w:r>
              <w:rPr>
                <w:rFonts w:hint="eastAsia"/>
              </w:rPr>
              <w:t xml:space="preserve">2.多设备数据整合与协同  </w:t>
            </w:r>
          </w:p>
          <w:p w14:paraId="31E3A225">
            <w:pPr>
              <w:rPr>
                <w:rFonts w:hint="eastAsia"/>
              </w:rPr>
            </w:pPr>
            <w:r>
              <w:rPr>
                <w:rFonts w:hint="eastAsia"/>
              </w:rPr>
              <w:t xml:space="preserve">兼容现有设备（如阿尔法峰频率评估仪器、脑电极帽），支持数据实时导入与同步。可扩展接口协议（如HL7、DICOM），实现与医院电子病历系统（EMR）、影像归档系统（PACS）的无缝对接。  </w:t>
            </w:r>
          </w:p>
          <w:p w14:paraId="5F6D8A7D">
            <w:pPr>
              <w:rPr>
                <w:rFonts w:hint="eastAsia"/>
              </w:rPr>
            </w:pPr>
            <w:r>
              <w:rPr>
                <w:rFonts w:hint="eastAsia"/>
              </w:rPr>
              <w:t xml:space="preserve">3.智能化报告生成  </w:t>
            </w:r>
          </w:p>
          <w:p w14:paraId="0803543D">
            <w:pPr>
              <w:rPr>
                <w:rFonts w:hint="eastAsia"/>
              </w:rPr>
            </w:pPr>
            <w:r>
              <w:rPr>
                <w:rFonts w:hint="eastAsia"/>
              </w:rPr>
              <w:t xml:space="preserve">自动生成结构化报告，包含脑电特征分析、预后评分、治疗建议（中西医结合方案）。支持一键导出至病历系统，并标注医保收费编码（如特殊脑电图/0031010002000）。  </w:t>
            </w:r>
          </w:p>
          <w:p w14:paraId="300C6BBE">
            <w:pPr>
              <w:rPr>
                <w:rFonts w:hint="eastAsia"/>
              </w:rPr>
            </w:pPr>
            <w:r>
              <w:rPr>
                <w:rFonts w:hint="eastAsia"/>
              </w:rPr>
              <w:t>4.中西医结合评估模块</w:t>
            </w:r>
          </w:p>
          <w:p w14:paraId="7969A35F">
            <w:pPr>
              <w:rPr>
                <w:rFonts w:hint="eastAsia"/>
              </w:rPr>
            </w:pPr>
            <w:r>
              <w:rPr>
                <w:rFonts w:hint="eastAsia"/>
              </w:rPr>
              <w:t xml:space="preserve">集成中医药诊疗指标（如中医证候评分、针灸疗效反馈），与现代神经电生理数据交叉分析。提供中西医联合干预建议模板，支持个性化科研方案制定。  </w:t>
            </w:r>
          </w:p>
          <w:p w14:paraId="4A874992">
            <w:pPr>
              <w:rPr>
                <w:rFonts w:hint="eastAsia"/>
              </w:rPr>
            </w:pPr>
            <w:r>
              <w:rPr>
                <w:rFonts w:hint="eastAsia"/>
                <w:lang w:eastAsia="zh-CN"/>
              </w:rPr>
              <w:t>（</w:t>
            </w:r>
            <w:r>
              <w:rPr>
                <w:rFonts w:hint="eastAsia"/>
                <w:lang w:val="en-US" w:eastAsia="zh-CN"/>
              </w:rPr>
              <w:t>二</w:t>
            </w:r>
            <w:r>
              <w:rPr>
                <w:rFonts w:hint="eastAsia"/>
                <w:lang w:eastAsia="zh-CN"/>
              </w:rPr>
              <w:t>）</w:t>
            </w:r>
            <w:r>
              <w:rPr>
                <w:rFonts w:hint="eastAsia"/>
              </w:rPr>
              <w:t>操作与用户体验需求</w:t>
            </w:r>
          </w:p>
          <w:p w14:paraId="3FD8F2D8">
            <w:pPr>
              <w:rPr>
                <w:rFonts w:hint="eastAsia"/>
              </w:rPr>
            </w:pPr>
            <w:r>
              <w:rPr>
                <w:rFonts w:hint="eastAsia"/>
              </w:rPr>
              <w:t xml:space="preserve">1.界面设计  </w:t>
            </w:r>
          </w:p>
          <w:p w14:paraId="1F2DEA9A">
            <w:pPr>
              <w:rPr>
                <w:rFonts w:hint="eastAsia"/>
              </w:rPr>
            </w:pPr>
            <w:r>
              <w:rPr>
                <w:rFonts w:hint="eastAsia"/>
                <w:highlight w:val="none"/>
                <w:lang w:val="en-US" w:eastAsia="zh-CN"/>
              </w:rPr>
              <w:t>具有</w:t>
            </w:r>
            <w:r>
              <w:rPr>
                <w:rFonts w:hint="eastAsia"/>
                <w:highlight w:val="none"/>
              </w:rPr>
              <w:t>中文界面，</w:t>
            </w:r>
            <w:r>
              <w:rPr>
                <w:rFonts w:hint="eastAsia"/>
              </w:rPr>
              <w:t xml:space="preserve">符合国际医疗软件操作习惯。模块化布局，支持快速切换功能（如“实时监测”“历史数据对比”“报告生成”）。  </w:t>
            </w:r>
          </w:p>
          <w:p w14:paraId="6B57DDD4">
            <w:pPr>
              <w:rPr>
                <w:rFonts w:hint="eastAsia"/>
              </w:rPr>
            </w:pPr>
            <w:r>
              <w:rPr>
                <w:rFonts w:hint="eastAsia"/>
              </w:rPr>
              <w:t xml:space="preserve">2.流程优化  </w:t>
            </w:r>
          </w:p>
          <w:p w14:paraId="7F571E2D">
            <w:pPr>
              <w:rPr>
                <w:rFonts w:hint="eastAsia"/>
              </w:rPr>
            </w:pPr>
            <w:r>
              <w:rPr>
                <w:rFonts w:hint="eastAsia"/>
              </w:rPr>
              <w:t xml:space="preserve">操作步骤：患者信息录入→数据采集→自动分析→报告生成。支持床边移动端应用（便携电脑/平板/手机），适配ICU及病房场景。  </w:t>
            </w:r>
          </w:p>
          <w:p w14:paraId="7A66B03B">
            <w:pPr>
              <w:rPr>
                <w:rFonts w:hint="eastAsia"/>
              </w:rPr>
            </w:pPr>
            <w:r>
              <w:rPr>
                <w:rFonts w:hint="eastAsia"/>
              </w:rPr>
              <w:t xml:space="preserve">3.培训与技术支持  </w:t>
            </w:r>
          </w:p>
          <w:p w14:paraId="35427EF6">
            <w:pPr>
              <w:rPr>
                <w:rFonts w:hint="eastAsia"/>
              </w:rPr>
            </w:pPr>
            <w:r>
              <w:rPr>
                <w:rFonts w:hint="eastAsia"/>
              </w:rPr>
              <w:t>内置操作指南与视频教程。提供远程维护接口，确保软件故障24小时内响应。提供统一培训，如国家级培训班或装备此软件的国家级医疗中心短期培训</w:t>
            </w:r>
          </w:p>
          <w:p w14:paraId="3CDEAA02">
            <w:pPr>
              <w:rPr>
                <w:rFonts w:hint="eastAsia"/>
              </w:rPr>
            </w:pPr>
            <w:r>
              <w:rPr>
                <w:rFonts w:hint="eastAsia"/>
                <w:lang w:eastAsia="zh-CN"/>
              </w:rPr>
              <w:t>（</w:t>
            </w:r>
            <w:r>
              <w:rPr>
                <w:rFonts w:hint="eastAsia"/>
                <w:lang w:val="en-US" w:eastAsia="zh-CN"/>
              </w:rPr>
              <w:t>三</w:t>
            </w:r>
            <w:r>
              <w:rPr>
                <w:rFonts w:hint="eastAsia"/>
                <w:lang w:eastAsia="zh-CN"/>
              </w:rPr>
              <w:t>）</w:t>
            </w:r>
            <w:r>
              <w:rPr>
                <w:rFonts w:hint="eastAsia"/>
              </w:rPr>
              <w:t>数据安全与合规性需求</w:t>
            </w:r>
          </w:p>
          <w:p w14:paraId="1749CBFB">
            <w:pPr>
              <w:rPr>
                <w:rFonts w:hint="eastAsia"/>
              </w:rPr>
            </w:pPr>
            <w:r>
              <w:rPr>
                <w:rFonts w:hint="eastAsia"/>
              </w:rPr>
              <w:t xml:space="preserve">1.隐私保护  </w:t>
            </w:r>
          </w:p>
          <w:p w14:paraId="1125F0A0">
            <w:pPr>
              <w:rPr>
                <w:rFonts w:hint="eastAsia"/>
              </w:rPr>
            </w:pPr>
            <w:r>
              <w:rPr>
                <w:rFonts w:hint="eastAsia"/>
              </w:rPr>
              <w:t>符合《个人信息保护法》及《医疗数据安全标准》，数据加密存储与传输</w:t>
            </w:r>
            <w:r>
              <w:rPr>
                <w:rFonts w:hint="eastAsia"/>
                <w:lang w:eastAsia="zh-CN"/>
              </w:rPr>
              <w:t>。</w:t>
            </w:r>
            <w:r>
              <w:rPr>
                <w:rFonts w:hint="eastAsia"/>
              </w:rPr>
              <w:t xml:space="preserve">权限分级管理（医生、护士、管理员），操作记录可追溯。  </w:t>
            </w:r>
          </w:p>
          <w:p w14:paraId="18EA1923">
            <w:pPr>
              <w:rPr>
                <w:rFonts w:hint="eastAsia"/>
              </w:rPr>
            </w:pPr>
            <w:r>
              <w:rPr>
                <w:rFonts w:hint="eastAsia"/>
              </w:rPr>
              <w:t xml:space="preserve">2.标准化与认证  </w:t>
            </w:r>
          </w:p>
          <w:p w14:paraId="02AC36DF">
            <w:pPr>
              <w:rPr>
                <w:rFonts w:hint="eastAsia"/>
              </w:rPr>
            </w:pPr>
            <w:r>
              <w:rPr>
                <w:rFonts w:hint="eastAsia"/>
              </w:rPr>
              <w:t xml:space="preserve">通过中国医疗器械注册认证（NMPA），兼容国际标准（如FDA、CE）。支持医保收费自动核验，避免人为编码错误。  </w:t>
            </w:r>
          </w:p>
          <w:p w14:paraId="2AD11688">
            <w:pPr>
              <w:rPr>
                <w:rFonts w:hint="eastAsia"/>
              </w:rPr>
            </w:pPr>
            <w:r>
              <w:rPr>
                <w:rFonts w:hint="eastAsia"/>
                <w:lang w:eastAsia="zh-CN"/>
              </w:rPr>
              <w:t>（</w:t>
            </w:r>
            <w:r>
              <w:rPr>
                <w:rFonts w:hint="eastAsia"/>
                <w:lang w:val="en-US" w:eastAsia="zh-CN"/>
              </w:rPr>
              <w:t>四</w:t>
            </w:r>
            <w:r>
              <w:rPr>
                <w:rFonts w:hint="eastAsia"/>
                <w:lang w:eastAsia="zh-CN"/>
              </w:rPr>
              <w:t>）</w:t>
            </w:r>
            <w:r>
              <w:rPr>
                <w:rFonts w:hint="eastAsia"/>
              </w:rPr>
              <w:t xml:space="preserve">扩展性与维护需求  </w:t>
            </w:r>
          </w:p>
          <w:p w14:paraId="57661002">
            <w:pPr>
              <w:rPr>
                <w:rFonts w:hint="eastAsia"/>
              </w:rPr>
            </w:pPr>
            <w:r>
              <w:rPr>
                <w:rFonts w:hint="eastAsia"/>
              </w:rPr>
              <w:t xml:space="preserve">1.算法升级 </w:t>
            </w:r>
          </w:p>
          <w:p w14:paraId="3EE2F027">
            <w:pPr>
              <w:rPr>
                <w:rFonts w:hint="eastAsia"/>
              </w:rPr>
            </w:pPr>
            <w:r>
              <w:rPr>
                <w:rFonts w:hint="eastAsia"/>
              </w:rPr>
              <w:t xml:space="preserve">预留算法接口，支持后期集成新模型（如AI驱动的预后预测）。定期更新脑电数据库，纳入最新临床研究数据。  </w:t>
            </w:r>
          </w:p>
          <w:p w14:paraId="3FDE3013">
            <w:pPr>
              <w:rPr>
                <w:rFonts w:hint="eastAsia"/>
              </w:rPr>
            </w:pPr>
            <w:r>
              <w:rPr>
                <w:rFonts w:hint="eastAsia"/>
              </w:rPr>
              <w:t xml:space="preserve">2.硬件兼容性  </w:t>
            </w:r>
          </w:p>
          <w:p w14:paraId="6E057F4D">
            <w:pPr>
              <w:rPr>
                <w:rFonts w:hint="eastAsia"/>
              </w:rPr>
            </w:pPr>
            <w:r>
              <w:rPr>
                <w:rFonts w:hint="eastAsia"/>
              </w:rPr>
              <w:t xml:space="preserve">适配多品牌神经电生理设备（如Nicolet、Neurosoft）。  </w:t>
            </w:r>
          </w:p>
          <w:p w14:paraId="71EC6728">
            <w:pPr>
              <w:rPr>
                <w:rFonts w:hint="eastAsia"/>
              </w:rPr>
            </w:pPr>
            <w:r>
              <w:rPr>
                <w:rFonts w:hint="eastAsia"/>
              </w:rPr>
              <w:t xml:space="preserve">3.成本控制模块  </w:t>
            </w:r>
          </w:p>
          <w:p w14:paraId="7741975A">
            <w:pPr>
              <w:rPr>
                <w:rFonts w:hint="eastAsia"/>
              </w:rPr>
            </w:pPr>
            <w:r>
              <w:rPr>
                <w:rFonts w:hint="eastAsia"/>
              </w:rPr>
              <w:t xml:space="preserve">自动统计耗材使用（如导电胶、电极帽），生成运维成本报表。集成财务模块，实时计算经济效益（年收入、成本回收周期）。  </w:t>
            </w:r>
          </w:p>
          <w:p w14:paraId="787E0907">
            <w:pPr>
              <w:rPr>
                <w:rFonts w:hint="eastAsia"/>
              </w:rPr>
            </w:pPr>
            <w:r>
              <w:rPr>
                <w:rFonts w:hint="eastAsia"/>
                <w:lang w:eastAsia="zh-CN"/>
              </w:rPr>
              <w:t>（</w:t>
            </w:r>
            <w:r>
              <w:rPr>
                <w:rFonts w:hint="eastAsia"/>
                <w:lang w:val="en-US" w:eastAsia="zh-CN"/>
              </w:rPr>
              <w:t>五</w:t>
            </w:r>
            <w:r>
              <w:rPr>
                <w:rFonts w:hint="eastAsia"/>
                <w:lang w:eastAsia="zh-CN"/>
              </w:rPr>
              <w:t>）</w:t>
            </w:r>
            <w:r>
              <w:rPr>
                <w:rFonts w:hint="eastAsia"/>
              </w:rPr>
              <w:t xml:space="preserve">社会效益与科研支持需求  </w:t>
            </w:r>
          </w:p>
          <w:p w14:paraId="4D68C5FD">
            <w:pPr>
              <w:rPr>
                <w:rFonts w:hint="eastAsia"/>
              </w:rPr>
            </w:pPr>
            <w:r>
              <w:rPr>
                <w:rFonts w:hint="eastAsia"/>
              </w:rPr>
              <w:t xml:space="preserve">1.研究辅助功能  </w:t>
            </w:r>
          </w:p>
          <w:p w14:paraId="1B2A42A6">
            <w:pPr>
              <w:rPr>
                <w:rFonts w:hint="eastAsia"/>
              </w:rPr>
            </w:pPr>
            <w:r>
              <w:rPr>
                <w:rFonts w:hint="eastAsia"/>
              </w:rPr>
              <w:t xml:space="preserve">支持科研数据导出（匿名化处理），格式兼容SPSS、Python等分析工具。提供多中心研究协作接口，助力申报中医药传承创新专项课题。  </w:t>
            </w:r>
          </w:p>
          <w:p w14:paraId="243769A0">
            <w:pPr>
              <w:rPr>
                <w:rFonts w:hint="eastAsia"/>
              </w:rPr>
            </w:pPr>
            <w:r>
              <w:rPr>
                <w:rFonts w:hint="eastAsia"/>
              </w:rPr>
              <w:t xml:space="preserve">2.学科影响力提升  </w:t>
            </w:r>
          </w:p>
          <w:p w14:paraId="73FD06EF">
            <w:r>
              <w:rPr>
                <w:rFonts w:hint="eastAsia"/>
              </w:rPr>
              <w:t>内置案例库功能，收录典型病例（如脑损伤后意识障碍复苏案例），用于教学与学术交流。</w:t>
            </w:r>
          </w:p>
        </w:tc>
      </w:tr>
      <w:tr w14:paraId="015AF347">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308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二、</w:t>
            </w:r>
            <w:r>
              <w:rPr>
                <w:rFonts w:hint="eastAsia" w:ascii="等线" w:hAnsi="等线" w:eastAsia="等线" w:cs="宋体"/>
                <w:color w:val="000000"/>
                <w:kern w:val="0"/>
                <w:sz w:val="22"/>
                <w:lang w:val="en-US" w:eastAsia="zh-CN"/>
              </w:rPr>
              <w:t>基本</w:t>
            </w:r>
            <w:r>
              <w:rPr>
                <w:rFonts w:hint="eastAsia" w:ascii="等线" w:hAnsi="等线" w:eastAsia="等线" w:cs="宋体"/>
                <w:color w:val="000000"/>
                <w:kern w:val="0"/>
                <w:sz w:val="22"/>
              </w:rPr>
              <w:t>要求</w:t>
            </w:r>
          </w:p>
        </w:tc>
      </w:tr>
      <w:tr w14:paraId="7F5801A5">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5FE7341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1、投标人提供产品应满足</w:t>
            </w:r>
            <w:r>
              <w:rPr>
                <w:rFonts w:hint="eastAsia" w:ascii="等线" w:hAnsi="等线" w:eastAsia="等线" w:cs="宋体"/>
                <w:color w:val="000000"/>
                <w:kern w:val="0"/>
                <w:sz w:val="22"/>
                <w:lang w:val="en-US" w:eastAsia="zh-CN"/>
              </w:rPr>
              <w:t>采购人要求标准，包括但不限于</w:t>
            </w:r>
            <w:r>
              <w:rPr>
                <w:rFonts w:hint="eastAsia" w:ascii="等线" w:hAnsi="等线" w:eastAsia="等线" w:cs="宋体"/>
                <w:color w:val="000000"/>
                <w:kern w:val="0"/>
                <w:sz w:val="22"/>
                <w:lang w:eastAsia="zh-CN"/>
              </w:rPr>
              <w:t>如下标准：</w:t>
            </w:r>
          </w:p>
          <w:p w14:paraId="79A12B78">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（1）《电子病历系统功能应用水平分级评价方法及标准》六级以上</w:t>
            </w:r>
          </w:p>
          <w:p w14:paraId="3AE4A77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（2）《医院信息互联互通标准化成熟度测评方案》四级甲等以上</w:t>
            </w:r>
          </w:p>
          <w:p w14:paraId="64F6962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（3）《医院智慧服务分级评估标准体系》三级以上</w:t>
            </w:r>
          </w:p>
          <w:p w14:paraId="26F17791">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（4）《医院智慧管理分级评估标准体系》三级以上</w:t>
            </w:r>
          </w:p>
          <w:p w14:paraId="2C1F8F6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（5）《信息安全技术网络安全等级保护基本要求》三级</w:t>
            </w:r>
          </w:p>
          <w:p w14:paraId="26C1C4F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（6）《医院信息系统基本功能规范》</w:t>
            </w:r>
          </w:p>
          <w:p w14:paraId="6A4D5A5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（7）《中医医院信息系统基本功能规范》</w:t>
            </w:r>
          </w:p>
          <w:p w14:paraId="3A48E2DC">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（8）《全国医院信息化建设标准与规范》</w:t>
            </w:r>
          </w:p>
          <w:p w14:paraId="5C9DCCA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（9）《卫生系统电子认证服务规范》</w:t>
            </w:r>
          </w:p>
          <w:p w14:paraId="411136F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（10）《三级中医医院评审标准》</w:t>
            </w:r>
          </w:p>
          <w:p w14:paraId="3853C1C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（11）《信息安全技术个人信息安全规范》</w:t>
            </w:r>
          </w:p>
          <w:p w14:paraId="25E07FB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w:t>
            </w:r>
            <w:r>
              <w:rPr>
                <w:rFonts w:hint="eastAsia" w:ascii="等线" w:hAnsi="等线" w:eastAsia="等线" w:cs="宋体"/>
                <w:color w:val="000000"/>
                <w:kern w:val="0"/>
                <w:sz w:val="22"/>
                <w:lang w:val="en-US" w:eastAsia="zh-CN"/>
              </w:rPr>
              <w:t>12</w:t>
            </w:r>
            <w:r>
              <w:rPr>
                <w:rFonts w:hint="eastAsia" w:ascii="等线" w:hAnsi="等线" w:eastAsia="等线" w:cs="宋体"/>
                <w:color w:val="000000"/>
                <w:kern w:val="0"/>
                <w:sz w:val="22"/>
                <w:lang w:eastAsia="zh-CN"/>
              </w:rPr>
              <w:t>）《中华人民共和国个人信息保护法》</w:t>
            </w:r>
          </w:p>
          <w:p w14:paraId="397A42EC">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w:t>
            </w:r>
            <w:r>
              <w:rPr>
                <w:rFonts w:hint="eastAsia" w:ascii="等线" w:hAnsi="等线" w:eastAsia="等线" w:cs="宋体"/>
                <w:color w:val="000000"/>
                <w:kern w:val="0"/>
                <w:sz w:val="22"/>
                <w:lang w:val="en-US" w:eastAsia="zh-CN"/>
              </w:rPr>
              <w:t>13</w:t>
            </w:r>
            <w:r>
              <w:rPr>
                <w:rFonts w:hint="eastAsia" w:ascii="等线" w:hAnsi="等线" w:eastAsia="等线" w:cs="宋体"/>
                <w:color w:val="000000"/>
                <w:kern w:val="0"/>
                <w:sz w:val="22"/>
                <w:lang w:eastAsia="zh-CN"/>
              </w:rPr>
              <w:t>）《</w:t>
            </w:r>
            <w:r>
              <w:rPr>
                <w:rFonts w:hint="eastAsia" w:ascii="等线" w:hAnsi="等线" w:eastAsia="等线" w:cs="宋体"/>
                <w:color w:val="000000"/>
                <w:kern w:val="0"/>
                <w:sz w:val="22"/>
                <w:lang w:val="en-US" w:eastAsia="zh-CN"/>
              </w:rPr>
              <w:t>信息安全技术健康医疗数据安全指南</w:t>
            </w:r>
            <w:r>
              <w:rPr>
                <w:rFonts w:hint="eastAsia" w:ascii="等线" w:hAnsi="等线" w:eastAsia="等线" w:cs="宋体"/>
                <w:color w:val="000000"/>
                <w:kern w:val="0"/>
                <w:sz w:val="22"/>
                <w:lang w:eastAsia="zh-CN"/>
              </w:rPr>
              <w:t>》</w:t>
            </w:r>
          </w:p>
          <w:p w14:paraId="582E150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w:t>
            </w:r>
            <w:r>
              <w:rPr>
                <w:rFonts w:hint="eastAsia" w:ascii="等线" w:hAnsi="等线" w:eastAsia="等线" w:cs="宋体"/>
                <w:color w:val="000000"/>
                <w:kern w:val="0"/>
                <w:sz w:val="22"/>
                <w:lang w:val="en-US" w:eastAsia="zh-CN"/>
              </w:rPr>
              <w:t>4</w:t>
            </w:r>
            <w:r>
              <w:rPr>
                <w:rFonts w:hint="eastAsia" w:ascii="等线" w:hAnsi="等线" w:eastAsia="等线" w:cs="宋体"/>
                <w:color w:val="000000"/>
                <w:kern w:val="0"/>
                <w:sz w:val="22"/>
                <w:lang w:eastAsia="zh-CN"/>
              </w:rPr>
              <w:t>）所有系统能够按照相关标准（和/或甲方要求）由供应商免费接入医院信息集成平台。</w:t>
            </w:r>
          </w:p>
          <w:p w14:paraId="0132504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.完全自主知识产权，有专业软件工程师定期系统维护及升级。</w:t>
            </w:r>
          </w:p>
        </w:tc>
      </w:tr>
      <w:tr w14:paraId="03DB09F9">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2D98625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三、商务要求</w:t>
            </w:r>
          </w:p>
        </w:tc>
      </w:tr>
      <w:tr w14:paraId="1933BBCA">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6F47FF28">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1.</w:t>
            </w:r>
            <w:r>
              <w:rPr>
                <w:rFonts w:hint="eastAsia" w:ascii="等线" w:hAnsi="等线" w:eastAsia="等线" w:cs="宋体"/>
                <w:color w:val="000000"/>
                <w:kern w:val="0"/>
                <w:sz w:val="22"/>
                <w:lang w:eastAsia="zh-CN"/>
              </w:rPr>
              <w:t>本项目本项目为交钥匙工程，投标价应为人民币含税全包价，投标价格为固定价格，包括但不限于以下费用：</w:t>
            </w:r>
          </w:p>
          <w:p w14:paraId="7D0B4DE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（1）完整的产品软件、技术文件的费用、系统的设计、开发测试、安装调试技术服务费用及所发生相应的费用；</w:t>
            </w:r>
          </w:p>
          <w:p w14:paraId="5B3D9DB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（2）软件永久许可使用费；</w:t>
            </w:r>
          </w:p>
          <w:p w14:paraId="3808E50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（3）免费维保期内的服务费用和升级改造费用；</w:t>
            </w:r>
          </w:p>
          <w:p w14:paraId="63E32FC0">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（4）系统培训、验收、售后服务、智慧医院建设目标测评所需的费用及相关服务等一切费用；</w:t>
            </w:r>
          </w:p>
          <w:p w14:paraId="000976E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（5）与医院信息系统间的接口开发、对接医院现有信息系统及日后智慧医院信息系统接入平台升级改造涉及的所有费用均由</w:t>
            </w:r>
            <w:r>
              <w:rPr>
                <w:rFonts w:hint="eastAsia" w:ascii="等线" w:hAnsi="等线" w:eastAsia="等线" w:cs="宋体"/>
                <w:color w:val="000000"/>
                <w:kern w:val="0"/>
                <w:sz w:val="22"/>
                <w:lang w:val="en-US" w:eastAsia="zh-CN"/>
              </w:rPr>
              <w:t>投标人</w:t>
            </w:r>
            <w:r>
              <w:rPr>
                <w:rFonts w:hint="eastAsia" w:ascii="等线" w:hAnsi="等线" w:eastAsia="等线" w:cs="宋体"/>
                <w:color w:val="000000"/>
                <w:kern w:val="0"/>
                <w:sz w:val="22"/>
                <w:lang w:eastAsia="zh-CN"/>
              </w:rPr>
              <w:t>支付，确保项目达到智慧项目目标，采购人不再支付任何其他费用；</w:t>
            </w:r>
          </w:p>
          <w:p w14:paraId="4322F86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6）正常运行系统并达到需求标准所需的专用硬件和相关系统软件（服务器、存储设备、负载均衡设备和数据库软件除外），专用硬件包括但不限于采集卡、控制器、连接线、转接线、接口转换器、网卡、网线等；相关系统软件包括实现功能清单功能的系统软件、实现功能需求和智慧医院建设目标必须具备的辅助软件，如虚拟化软件、备份软件、管理工具等，无需再额外采购其它软硬件。</w:t>
            </w:r>
          </w:p>
          <w:p w14:paraId="7955F25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（7）为完成本项目义务所需支付的其他费用。</w:t>
            </w:r>
          </w:p>
          <w:p w14:paraId="54AC408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.免费维保期不少于2年，维保期结束后维保费用不超合同总价</w:t>
            </w:r>
            <w:r>
              <w:rPr>
                <w:rFonts w:hint="eastAsia" w:ascii="等线" w:hAnsi="等线" w:eastAsia="等线" w:cs="宋体"/>
                <w:color w:val="000000"/>
                <w:kern w:val="0"/>
                <w:sz w:val="22"/>
                <w:lang w:val="en-US" w:eastAsia="zh-CN"/>
              </w:rPr>
              <w:t>7</w:t>
            </w:r>
            <w:r>
              <w:rPr>
                <w:rFonts w:hint="eastAsia" w:ascii="等线" w:hAnsi="等线" w:eastAsia="等线" w:cs="宋体"/>
                <w:color w:val="000000"/>
                <w:kern w:val="0"/>
                <w:sz w:val="22"/>
                <w:lang w:eastAsia="zh-CN"/>
              </w:rPr>
              <w:t>%。</w:t>
            </w:r>
          </w:p>
        </w:tc>
      </w:tr>
    </w:tbl>
    <w:p w14:paraId="55EA1EA3"/>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0280E27C">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E7D628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OTZkYjQ2Nzc2NTFjOGI1M2E1M2ZlZGM2MGM3ZGUifQ=="/>
    <w:docVar w:name="KSO_WPS_MARK_KEY" w:val="93210919-9d30-4cc8-be99-ccc403d8efa2"/>
  </w:docVars>
  <w:rsids>
    <w:rsidRoot w:val="00C65E44"/>
    <w:rsid w:val="00003A95"/>
    <w:rsid w:val="00031971"/>
    <w:rsid w:val="0004157A"/>
    <w:rsid w:val="00043790"/>
    <w:rsid w:val="0006204D"/>
    <w:rsid w:val="000D7137"/>
    <w:rsid w:val="000E34C3"/>
    <w:rsid w:val="00131224"/>
    <w:rsid w:val="00162CFB"/>
    <w:rsid w:val="0017797A"/>
    <w:rsid w:val="001C3E09"/>
    <w:rsid w:val="001F4AF4"/>
    <w:rsid w:val="002B0F62"/>
    <w:rsid w:val="003416B7"/>
    <w:rsid w:val="00412A44"/>
    <w:rsid w:val="004465B2"/>
    <w:rsid w:val="004B7993"/>
    <w:rsid w:val="005265B1"/>
    <w:rsid w:val="00585062"/>
    <w:rsid w:val="0058570F"/>
    <w:rsid w:val="005940DC"/>
    <w:rsid w:val="005B6D49"/>
    <w:rsid w:val="0063227A"/>
    <w:rsid w:val="00632680"/>
    <w:rsid w:val="00652335"/>
    <w:rsid w:val="006C607E"/>
    <w:rsid w:val="006F7A88"/>
    <w:rsid w:val="00727545"/>
    <w:rsid w:val="00761FC7"/>
    <w:rsid w:val="007629DD"/>
    <w:rsid w:val="00784E48"/>
    <w:rsid w:val="007B542C"/>
    <w:rsid w:val="00851A43"/>
    <w:rsid w:val="00892D70"/>
    <w:rsid w:val="00895A6C"/>
    <w:rsid w:val="008F1AAD"/>
    <w:rsid w:val="00931DF7"/>
    <w:rsid w:val="009E16DF"/>
    <w:rsid w:val="00A66A8C"/>
    <w:rsid w:val="00B17995"/>
    <w:rsid w:val="00B7583B"/>
    <w:rsid w:val="00BB1990"/>
    <w:rsid w:val="00C1620C"/>
    <w:rsid w:val="00C65E44"/>
    <w:rsid w:val="00CF311F"/>
    <w:rsid w:val="00D1155A"/>
    <w:rsid w:val="00D8734E"/>
    <w:rsid w:val="00DB0A9D"/>
    <w:rsid w:val="00DF0C80"/>
    <w:rsid w:val="00E01F19"/>
    <w:rsid w:val="00E314A7"/>
    <w:rsid w:val="00E87AE6"/>
    <w:rsid w:val="00F85075"/>
    <w:rsid w:val="00F93B6F"/>
    <w:rsid w:val="02123AD6"/>
    <w:rsid w:val="0E285756"/>
    <w:rsid w:val="0EF820C6"/>
    <w:rsid w:val="13A740BB"/>
    <w:rsid w:val="13B60AEE"/>
    <w:rsid w:val="146B333A"/>
    <w:rsid w:val="15E038B4"/>
    <w:rsid w:val="1B3721C8"/>
    <w:rsid w:val="1DB91893"/>
    <w:rsid w:val="1E9F3AEB"/>
    <w:rsid w:val="1FA976C2"/>
    <w:rsid w:val="22B45798"/>
    <w:rsid w:val="280850E3"/>
    <w:rsid w:val="325F7DF7"/>
    <w:rsid w:val="342A71FD"/>
    <w:rsid w:val="3502519D"/>
    <w:rsid w:val="36820344"/>
    <w:rsid w:val="36D35EAB"/>
    <w:rsid w:val="3FEA3942"/>
    <w:rsid w:val="40E35F62"/>
    <w:rsid w:val="46361A61"/>
    <w:rsid w:val="465B1C86"/>
    <w:rsid w:val="496640F1"/>
    <w:rsid w:val="5237602E"/>
    <w:rsid w:val="56B05417"/>
    <w:rsid w:val="577A50C0"/>
    <w:rsid w:val="60017C7C"/>
    <w:rsid w:val="6052306E"/>
    <w:rsid w:val="61045C75"/>
    <w:rsid w:val="64CA553F"/>
    <w:rsid w:val="65FB7383"/>
    <w:rsid w:val="66DB4D83"/>
    <w:rsid w:val="676E3E49"/>
    <w:rsid w:val="67DA14DE"/>
    <w:rsid w:val="6CDF7672"/>
    <w:rsid w:val="6E7C7874"/>
    <w:rsid w:val="6FD601DD"/>
    <w:rsid w:val="76A34845"/>
    <w:rsid w:val="76E77696"/>
    <w:rsid w:val="771A0A72"/>
    <w:rsid w:val="78000AED"/>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9"/>
    <w:link w:val="3"/>
    <w:semiHidden/>
    <w:qFormat/>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1978</Words>
  <Characters>2071</Characters>
  <Lines>6</Lines>
  <Paragraphs>1</Paragraphs>
  <TotalTime>142</TotalTime>
  <ScaleCrop>false</ScaleCrop>
  <LinksUpToDate>false</LinksUpToDate>
  <CharactersWithSpaces>2122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孟伶俊</cp:lastModifiedBy>
  <cp:lastPrinted>2023-06-06T10:29:00Z</cp:lastPrinted>
  <dcterms:modified xsi:type="dcterms:W3CDTF">2025-03-13T08:19:16Z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589695BC1D6A4B8DA99741241D758DBE_13</vt:lpwstr>
  </property>
  <property fmtid="{D5CDD505-2E9C-101B-9397-08002B2CF9AE}" pid="4" name="KSOTemplateDocerSaveRecord">
    <vt:lpwstr>eyJoZGlkIjoiMzU1NDExYjZhN2I2NjM1MGU3OTY1OTUyYTRmNjU3NTMiLCJ1c2VySWQiOiI0MjE4NTY3MjkifQ==</vt:lpwstr>
  </property>
</Properties>
</file>