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DA844">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tbl>
      <w:tblPr>
        <w:tblStyle w:val="10"/>
        <w:tblW w:w="10206" w:type="dxa"/>
        <w:tblInd w:w="250" w:type="dxa"/>
        <w:tblLayout w:type="autofit"/>
        <w:tblCellMar>
          <w:top w:w="0" w:type="dxa"/>
          <w:left w:w="108" w:type="dxa"/>
          <w:bottom w:w="0" w:type="dxa"/>
          <w:right w:w="108" w:type="dxa"/>
        </w:tblCellMar>
      </w:tblPr>
      <w:tblGrid>
        <w:gridCol w:w="2693"/>
        <w:gridCol w:w="7513"/>
      </w:tblGrid>
      <w:tr w14:paraId="34D9BD01">
        <w:tblPrEx>
          <w:tblCellMar>
            <w:top w:w="0" w:type="dxa"/>
            <w:left w:w="108" w:type="dxa"/>
            <w:bottom w:w="0" w:type="dxa"/>
            <w:right w:w="108" w:type="dxa"/>
          </w:tblCellMar>
        </w:tblPrEx>
        <w:trPr>
          <w:trHeight w:val="855" w:hRule="atLeast"/>
        </w:trPr>
        <w:tc>
          <w:tcPr>
            <w:tcW w:w="10206" w:type="dxa"/>
            <w:gridSpan w:val="2"/>
            <w:tcBorders>
              <w:top w:val="nil"/>
              <w:left w:val="nil"/>
              <w:bottom w:val="nil"/>
              <w:right w:val="nil"/>
            </w:tcBorders>
            <w:shd w:val="clear" w:color="auto" w:fill="auto"/>
            <w:vAlign w:val="center"/>
          </w:tcPr>
          <w:p w14:paraId="4F1B6EE0">
            <w:pPr>
              <w:widowControl/>
              <w:jc w:val="center"/>
              <w:rPr>
                <w:rFonts w:ascii="等线" w:hAnsi="等线" w:eastAsia="等线" w:cs="宋体"/>
                <w:color w:val="000000"/>
                <w:kern w:val="0"/>
                <w:sz w:val="36"/>
                <w:szCs w:val="36"/>
              </w:rPr>
            </w:pPr>
            <w:r>
              <w:rPr>
                <w:rFonts w:hint="eastAsia" w:ascii="宋体" w:hAnsi="宋体" w:eastAsia="宋体" w:cs="宋体"/>
                <w:color w:val="000000"/>
                <w:kern w:val="0"/>
                <w:sz w:val="36"/>
                <w:szCs w:val="36"/>
                <w:lang w:val="en-US" w:eastAsia="zh-CN"/>
              </w:rPr>
              <w:t>集采药品管控软件项目</w:t>
            </w:r>
            <w:r>
              <w:rPr>
                <w:rFonts w:hint="eastAsia" w:ascii="宋体" w:hAnsi="宋体" w:eastAsia="宋体" w:cs="宋体"/>
                <w:color w:val="000000"/>
                <w:kern w:val="0"/>
                <w:sz w:val="36"/>
                <w:szCs w:val="36"/>
              </w:rPr>
              <w:t>采购需求</w:t>
            </w:r>
            <w:bookmarkStart w:id="35" w:name="_GoBack"/>
            <w:bookmarkEnd w:id="35"/>
          </w:p>
        </w:tc>
      </w:tr>
      <w:tr w14:paraId="2DC3E5A1">
        <w:tblPrEx>
          <w:tblCellMar>
            <w:top w:w="0" w:type="dxa"/>
            <w:left w:w="108" w:type="dxa"/>
            <w:bottom w:w="0" w:type="dxa"/>
            <w:right w:w="108" w:type="dxa"/>
          </w:tblCellMar>
        </w:tblPrEx>
        <w:trPr>
          <w:trHeight w:val="555"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108043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项目名称</w:t>
            </w:r>
          </w:p>
        </w:tc>
        <w:tc>
          <w:tcPr>
            <w:tcW w:w="7513" w:type="dxa"/>
            <w:tcBorders>
              <w:top w:val="single" w:color="auto" w:sz="4" w:space="0"/>
              <w:left w:val="nil"/>
              <w:bottom w:val="single" w:color="auto" w:sz="4" w:space="0"/>
              <w:right w:val="single" w:color="auto" w:sz="4" w:space="0"/>
            </w:tcBorders>
            <w:shd w:val="clear" w:color="auto" w:fill="auto"/>
            <w:vAlign w:val="center"/>
          </w:tcPr>
          <w:p w14:paraId="6615E59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集采药品管控软件</w:t>
            </w:r>
          </w:p>
        </w:tc>
      </w:tr>
      <w:tr w14:paraId="106A58C3">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A3CEE9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采购数量</w:t>
            </w:r>
          </w:p>
        </w:tc>
        <w:tc>
          <w:tcPr>
            <w:tcW w:w="7513" w:type="dxa"/>
            <w:tcBorders>
              <w:top w:val="nil"/>
              <w:left w:val="nil"/>
              <w:bottom w:val="single" w:color="auto" w:sz="4" w:space="0"/>
              <w:right w:val="single" w:color="auto" w:sz="4" w:space="0"/>
            </w:tcBorders>
            <w:shd w:val="clear" w:color="auto" w:fill="auto"/>
            <w:vAlign w:val="center"/>
          </w:tcPr>
          <w:p w14:paraId="6B7EC7D4">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1套</w:t>
            </w:r>
          </w:p>
        </w:tc>
      </w:tr>
      <w:tr w14:paraId="2186856A">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16D270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预算总金额</w:t>
            </w:r>
          </w:p>
        </w:tc>
        <w:tc>
          <w:tcPr>
            <w:tcW w:w="7513" w:type="dxa"/>
            <w:tcBorders>
              <w:top w:val="nil"/>
              <w:left w:val="nil"/>
              <w:bottom w:val="single" w:color="auto" w:sz="4" w:space="0"/>
              <w:right w:val="single" w:color="auto" w:sz="4" w:space="0"/>
            </w:tcBorders>
            <w:shd w:val="clear" w:color="auto" w:fill="auto"/>
            <w:vAlign w:val="center"/>
          </w:tcPr>
          <w:p w14:paraId="47971939">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15万元</w:t>
            </w:r>
          </w:p>
        </w:tc>
      </w:tr>
      <w:tr w14:paraId="0A198E49">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55A98">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项目采购需求及参数</w:t>
            </w:r>
          </w:p>
        </w:tc>
      </w:tr>
      <w:tr w14:paraId="7B2080FF">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49674BC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一、技术要求</w:t>
            </w:r>
          </w:p>
        </w:tc>
      </w:tr>
      <w:tr w14:paraId="726F74F8">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1173"/>
              <w:gridCol w:w="7721"/>
            </w:tblGrid>
            <w:tr w14:paraId="7483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000" w:type="pct"/>
                  <w:gridSpan w:val="3"/>
                  <w:tcBorders>
                    <w:tl2br w:val="nil"/>
                    <w:tr2bl w:val="nil"/>
                  </w:tcBorders>
                  <w:shd w:val="clear" w:color="auto" w:fill="auto"/>
                  <w:vAlign w:val="center"/>
                </w:tcPr>
                <w:p w14:paraId="266524CC">
                  <w:pPr>
                    <w:pStyle w:val="4"/>
                    <w:bidi w:val="0"/>
                    <w:rPr>
                      <w:rFonts w:hint="eastAsia"/>
                      <w:sz w:val="24"/>
                      <w:szCs w:val="16"/>
                      <w:lang w:val="en-US" w:eastAsia="zh-CN"/>
                    </w:rPr>
                  </w:pPr>
                  <w:bookmarkStart w:id="0" w:name="_Toc19918"/>
                  <w:bookmarkStart w:id="1" w:name="_Toc6255"/>
                  <w:r>
                    <w:rPr>
                      <w:rFonts w:hint="eastAsia"/>
                      <w:sz w:val="24"/>
                      <w:szCs w:val="16"/>
                      <w:lang w:val="en-US" w:eastAsia="zh-CN"/>
                    </w:rPr>
                    <w:t>总体要求</w:t>
                  </w:r>
                  <w:bookmarkEnd w:id="0"/>
                  <w:bookmarkEnd w:id="1"/>
                </w:p>
              </w:tc>
            </w:tr>
            <w:tr w14:paraId="07BE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43" w:type="pct"/>
                  <w:tcBorders>
                    <w:tl2br w:val="nil"/>
                    <w:tr2bl w:val="nil"/>
                  </w:tcBorders>
                  <w:shd w:val="clear" w:color="auto" w:fill="auto"/>
                  <w:vAlign w:val="center"/>
                </w:tcPr>
                <w:p w14:paraId="52119FA9">
                  <w:pPr>
                    <w:widowControl/>
                    <w:spacing w:line="360" w:lineRule="auto"/>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Cs w:val="21"/>
                      <w:lang w:val="en-US" w:eastAsia="zh-CN"/>
                    </w:rPr>
                    <w:t>产品模块</w:t>
                  </w:r>
                </w:p>
              </w:tc>
              <w:tc>
                <w:tcPr>
                  <w:tcW w:w="588" w:type="pct"/>
                  <w:tcBorders>
                    <w:tl2br w:val="nil"/>
                    <w:tr2bl w:val="nil"/>
                  </w:tcBorders>
                  <w:shd w:val="clear" w:color="auto" w:fill="auto"/>
                  <w:vAlign w:val="center"/>
                </w:tcPr>
                <w:p w14:paraId="6BED6C32">
                  <w:pPr>
                    <w:widowControl/>
                    <w:spacing w:line="360" w:lineRule="auto"/>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Cs w:val="21"/>
                      <w:lang w:val="en-US" w:eastAsia="zh-CN"/>
                    </w:rPr>
                    <w:t>主要功能</w:t>
                  </w:r>
                </w:p>
              </w:tc>
              <w:tc>
                <w:tcPr>
                  <w:tcW w:w="3868" w:type="pct"/>
                  <w:tcBorders>
                    <w:tl2br w:val="nil"/>
                    <w:tr2bl w:val="nil"/>
                  </w:tcBorders>
                  <w:shd w:val="clear" w:color="auto" w:fill="auto"/>
                  <w:vAlign w:val="center"/>
                </w:tcPr>
                <w:p w14:paraId="64384F01">
                  <w:pPr>
                    <w:widowControl/>
                    <w:spacing w:line="360" w:lineRule="auto"/>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Cs w:val="21"/>
                      <w:lang w:val="en-US" w:eastAsia="zh-CN"/>
                    </w:rPr>
                    <w:t>功能描述</w:t>
                  </w:r>
                </w:p>
              </w:tc>
            </w:tr>
            <w:tr w14:paraId="10ED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3" w:type="pct"/>
                  <w:vMerge w:val="restart"/>
                  <w:tcBorders>
                    <w:tl2br w:val="nil"/>
                    <w:tr2bl w:val="nil"/>
                  </w:tcBorders>
                  <w:shd w:val="clear" w:color="auto" w:fill="auto"/>
                  <w:vAlign w:val="center"/>
                </w:tcPr>
                <w:p w14:paraId="11DB1757">
                  <w:pPr>
                    <w:numPr>
                      <w:ilvl w:val="0"/>
                      <w:numId w:val="0"/>
                    </w:numPr>
                    <w:spacing w:before="312" w:after="312"/>
                    <w:ind w:leftChars="0"/>
                    <w:jc w:val="center"/>
                    <w:outlineLvl w:val="9"/>
                    <w:rPr>
                      <w:rFonts w:hint="default"/>
                      <w:lang w:val="en-US" w:eastAsia="zh-CN"/>
                    </w:rPr>
                  </w:pPr>
                  <w:bookmarkStart w:id="2" w:name="_Toc26157"/>
                  <w:bookmarkStart w:id="3" w:name="_Toc25020"/>
                  <w:bookmarkStart w:id="4" w:name="_Toc32478"/>
                  <w:bookmarkStart w:id="5" w:name="_Toc4365"/>
                  <w:bookmarkStart w:id="6" w:name="_Toc18053"/>
                  <w:bookmarkStart w:id="7" w:name="_Toc21736"/>
                  <w:bookmarkStart w:id="8" w:name="_Toc12400"/>
                  <w:bookmarkStart w:id="9" w:name="_Toc13343"/>
                  <w:bookmarkStart w:id="10" w:name="_Toc10520"/>
                  <w:bookmarkStart w:id="11" w:name="_Toc3000"/>
                  <w:bookmarkStart w:id="12" w:name="_Toc20266"/>
                  <w:bookmarkStart w:id="13" w:name="_Toc23044"/>
                  <w:bookmarkStart w:id="14" w:name="_Toc13341"/>
                  <w:bookmarkStart w:id="15" w:name="_Toc5406"/>
                  <w:bookmarkStart w:id="16" w:name="_Toc4024"/>
                  <w:bookmarkStart w:id="17" w:name="_Toc29157"/>
                  <w:bookmarkStart w:id="18" w:name="_Toc25072"/>
                  <w:r>
                    <w:rPr>
                      <w:rFonts w:hint="eastAsia"/>
                      <w:lang w:val="en-US" w:eastAsia="zh-CN"/>
                    </w:rPr>
                    <w:t>总体要求</w:t>
                  </w:r>
                </w:p>
              </w:tc>
              <w:tc>
                <w:tcPr>
                  <w:tcW w:w="588" w:type="pct"/>
                  <w:tcBorders>
                    <w:tl2br w:val="nil"/>
                    <w:tr2bl w:val="nil"/>
                  </w:tcBorders>
                  <w:shd w:val="clear" w:color="auto" w:fill="auto"/>
                  <w:vAlign w:val="center"/>
                </w:tcPr>
                <w:p w14:paraId="4914DE94">
                  <w:pPr>
                    <w:widowControl/>
                    <w:spacing w:line="360" w:lineRule="auto"/>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系统架构</w:t>
                  </w:r>
                </w:p>
              </w:tc>
              <w:tc>
                <w:tcPr>
                  <w:tcW w:w="3868" w:type="pct"/>
                  <w:tcBorders>
                    <w:tl2br w:val="nil"/>
                    <w:tr2bl w:val="nil"/>
                  </w:tcBorders>
                  <w:shd w:val="clear" w:color="auto" w:fill="auto"/>
                  <w:vAlign w:val="center"/>
                </w:tcPr>
                <w:p w14:paraId="6DDD72BE">
                  <w:pPr>
                    <w:widowControl/>
                    <w:spacing w:line="360" w:lineRule="auto"/>
                    <w:ind w:firstLine="420" w:firstLineChars="200"/>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color w:val="auto"/>
                      <w:kern w:val="0"/>
                      <w:szCs w:val="21"/>
                    </w:rPr>
                    <w:t>软件应采用 B/S 架构模式，全院计算机授权访问，无须单台授权。</w:t>
                  </w:r>
                </w:p>
              </w:tc>
            </w:tr>
            <w:tr w14:paraId="4B39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3" w:type="pct"/>
                  <w:vMerge w:val="continue"/>
                  <w:tcBorders>
                    <w:tl2br w:val="nil"/>
                    <w:tr2bl w:val="nil"/>
                  </w:tcBorders>
                  <w:shd w:val="clear" w:color="auto" w:fill="auto"/>
                  <w:vAlign w:val="center"/>
                </w:tcPr>
                <w:p w14:paraId="58930AC0">
                  <w:pPr>
                    <w:numPr>
                      <w:ilvl w:val="0"/>
                      <w:numId w:val="0"/>
                    </w:numPr>
                    <w:spacing w:before="312" w:after="312"/>
                    <w:ind w:leftChars="0"/>
                    <w:jc w:val="center"/>
                    <w:outlineLvl w:val="9"/>
                    <w:rPr>
                      <w:rFonts w:hint="eastAsia"/>
                      <w:lang w:val="en-US" w:eastAsia="zh-CN"/>
                    </w:rPr>
                  </w:pPr>
                  <w:bookmarkStart w:id="19" w:name="_Toc31905"/>
                  <w:bookmarkStart w:id="20" w:name="_Toc8136"/>
                </w:p>
              </w:tc>
              <w:tc>
                <w:tcPr>
                  <w:tcW w:w="588" w:type="pct"/>
                  <w:tcBorders>
                    <w:tl2br w:val="nil"/>
                    <w:tr2bl w:val="nil"/>
                  </w:tcBorders>
                  <w:shd w:val="clear" w:color="auto" w:fill="auto"/>
                  <w:vAlign w:val="center"/>
                </w:tcPr>
                <w:p w14:paraId="01FBD83E">
                  <w:pPr>
                    <w:widowControl/>
                    <w:spacing w:line="360" w:lineRule="auto"/>
                    <w:jc w:val="center"/>
                    <w:rPr>
                      <w:rFonts w:hint="default"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系统融合</w:t>
                  </w:r>
                </w:p>
              </w:tc>
              <w:tc>
                <w:tcPr>
                  <w:tcW w:w="3868" w:type="pct"/>
                  <w:tcBorders>
                    <w:tl2br w:val="nil"/>
                    <w:tr2bl w:val="nil"/>
                  </w:tcBorders>
                  <w:shd w:val="clear" w:color="auto" w:fill="auto"/>
                  <w:vAlign w:val="center"/>
                </w:tcPr>
                <w:p w14:paraId="7A321F02">
                  <w:pPr>
                    <w:widowControl/>
                    <w:spacing w:line="360" w:lineRule="auto"/>
                    <w:ind w:firstLine="420" w:firstLineChars="2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集采药品管控功能能与院内前置审方系统无缝链接，避免医生端多次弹框。</w:t>
                  </w:r>
                </w:p>
              </w:tc>
            </w:tr>
            <w:bookmarkEnd w:id="2"/>
            <w:bookmarkEnd w:id="3"/>
            <w:bookmarkEnd w:id="4"/>
            <w:bookmarkEnd w:id="5"/>
            <w:bookmarkEnd w:id="6"/>
            <w:bookmarkEnd w:id="7"/>
            <w:bookmarkEnd w:id="8"/>
            <w:bookmarkEnd w:id="9"/>
            <w:tr w14:paraId="61BC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000" w:type="pct"/>
                  <w:gridSpan w:val="3"/>
                  <w:tcBorders>
                    <w:tl2br w:val="nil"/>
                    <w:tr2bl w:val="nil"/>
                  </w:tcBorders>
                  <w:shd w:val="clear" w:color="auto" w:fill="auto"/>
                  <w:vAlign w:val="center"/>
                </w:tcPr>
                <w:p w14:paraId="11E3E011">
                  <w:pPr>
                    <w:pStyle w:val="4"/>
                    <w:tabs>
                      <w:tab w:val="clear" w:pos="432"/>
                    </w:tabs>
                    <w:bidi w:val="0"/>
                    <w:rPr>
                      <w:rFonts w:hint="eastAsia"/>
                      <w:sz w:val="24"/>
                      <w:szCs w:val="16"/>
                      <w:lang w:val="en-US" w:eastAsia="zh-CN"/>
                    </w:rPr>
                  </w:pPr>
                  <w:r>
                    <w:rPr>
                      <w:rFonts w:hint="eastAsia"/>
                      <w:sz w:val="24"/>
                      <w:szCs w:val="16"/>
                      <w:lang w:val="en-US" w:eastAsia="zh-CN"/>
                    </w:rPr>
                    <w:t>集采药品管理</w:t>
                  </w:r>
                  <w:bookmarkEnd w:id="10"/>
                  <w:bookmarkEnd w:id="11"/>
                  <w:bookmarkEnd w:id="12"/>
                  <w:bookmarkEnd w:id="13"/>
                  <w:bookmarkEnd w:id="14"/>
                  <w:bookmarkEnd w:id="15"/>
                  <w:bookmarkEnd w:id="16"/>
                  <w:bookmarkEnd w:id="17"/>
                  <w:bookmarkEnd w:id="18"/>
                  <w:bookmarkEnd w:id="19"/>
                  <w:bookmarkEnd w:id="20"/>
                </w:p>
              </w:tc>
              <w:bookmarkStart w:id="21" w:name="_Toc275"/>
              <w:bookmarkEnd w:id="21"/>
              <w:bookmarkStart w:id="22" w:name="_Toc3654"/>
              <w:bookmarkEnd w:id="22"/>
              <w:bookmarkStart w:id="23" w:name="_Toc5336"/>
              <w:bookmarkEnd w:id="23"/>
              <w:bookmarkStart w:id="24" w:name="_Toc21651"/>
              <w:bookmarkEnd w:id="24"/>
              <w:bookmarkStart w:id="25" w:name="_Toc21652"/>
              <w:bookmarkEnd w:id="25"/>
              <w:bookmarkStart w:id="26" w:name="_Toc4743"/>
              <w:bookmarkEnd w:id="26"/>
              <w:bookmarkStart w:id="27" w:name="_Toc6016"/>
              <w:bookmarkEnd w:id="27"/>
            </w:tr>
            <w:tr w14:paraId="207A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3" w:type="pct"/>
                  <w:tcBorders>
                    <w:tl2br w:val="nil"/>
                    <w:tr2bl w:val="nil"/>
                  </w:tcBorders>
                  <w:shd w:val="clear" w:color="auto" w:fill="auto"/>
                  <w:vAlign w:val="center"/>
                </w:tcPr>
                <w:p w14:paraId="607E0014">
                  <w:pPr>
                    <w:numPr>
                      <w:ilvl w:val="0"/>
                      <w:numId w:val="0"/>
                    </w:numPr>
                    <w:bidi w:val="0"/>
                    <w:spacing w:before="312" w:after="312" w:line="360" w:lineRule="auto"/>
                    <w:ind w:left="0" w:firstLine="0"/>
                    <w:jc w:val="center"/>
                    <w:outlineLvl w:val="9"/>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Cs w:val="21"/>
                      <w:lang w:val="en-US" w:eastAsia="zh-CN"/>
                    </w:rPr>
                    <w:t>产品模块</w:t>
                  </w:r>
                </w:p>
              </w:tc>
              <w:tc>
                <w:tcPr>
                  <w:tcW w:w="588" w:type="pct"/>
                  <w:tcBorders>
                    <w:tl2br w:val="nil"/>
                    <w:tr2bl w:val="nil"/>
                  </w:tcBorders>
                  <w:shd w:val="clear" w:color="auto" w:fill="auto"/>
                  <w:vAlign w:val="center"/>
                </w:tcPr>
                <w:p w14:paraId="36969111">
                  <w:pPr>
                    <w:widowControl/>
                    <w:spacing w:line="360" w:lineRule="auto"/>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Cs w:val="21"/>
                      <w:lang w:val="en-US" w:eastAsia="zh-CN"/>
                    </w:rPr>
                    <w:t>主要功能</w:t>
                  </w:r>
                </w:p>
              </w:tc>
              <w:tc>
                <w:tcPr>
                  <w:tcW w:w="3868" w:type="pct"/>
                  <w:tcBorders>
                    <w:tl2br w:val="nil"/>
                    <w:tr2bl w:val="nil"/>
                  </w:tcBorders>
                  <w:shd w:val="clear" w:color="auto" w:fill="auto"/>
                  <w:vAlign w:val="center"/>
                </w:tcPr>
                <w:p w14:paraId="7E16C667">
                  <w:pPr>
                    <w:widowControl/>
                    <w:spacing w:line="360" w:lineRule="auto"/>
                    <w:ind w:firstLine="0" w:firstLineChars="0"/>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Cs w:val="21"/>
                      <w:lang w:val="en-US" w:eastAsia="zh-CN"/>
                    </w:rPr>
                    <w:t>功能描述</w:t>
                  </w:r>
                </w:p>
              </w:tc>
            </w:tr>
            <w:tr w14:paraId="403E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3" w:type="pct"/>
                  <w:tcBorders>
                    <w:tl2br w:val="nil"/>
                    <w:tr2bl w:val="nil"/>
                  </w:tcBorders>
                  <w:shd w:val="clear" w:color="auto" w:fill="auto"/>
                  <w:vAlign w:val="center"/>
                </w:tcPr>
                <w:p w14:paraId="525A328D">
                  <w:pPr>
                    <w:numPr>
                      <w:ilvl w:val="0"/>
                      <w:numId w:val="0"/>
                    </w:numPr>
                    <w:bidi w:val="0"/>
                    <w:spacing w:before="312" w:after="312" w:line="360" w:lineRule="auto"/>
                    <w:ind w:left="0" w:firstLine="0"/>
                    <w:jc w:val="center"/>
                    <w:outlineLvl w:val="9"/>
                    <w:rPr>
                      <w:rFonts w:hint="eastAsia" w:ascii="宋体" w:hAnsi="宋体" w:eastAsia="宋体" w:cs="宋体"/>
                      <w:b/>
                      <w:bCs/>
                      <w:color w:val="auto"/>
                      <w:kern w:val="0"/>
                      <w:szCs w:val="21"/>
                      <w:lang w:val="en-US" w:eastAsia="zh-CN"/>
                    </w:rPr>
                  </w:pPr>
                  <w:r>
                    <w:rPr>
                      <w:rFonts w:hint="eastAsia" w:ascii="宋体" w:hAnsi="宋体" w:eastAsia="宋体" w:cs="宋体"/>
                      <w:b w:val="0"/>
                      <w:bCs w:val="0"/>
                      <w:color w:val="auto"/>
                      <w:kern w:val="0"/>
                      <w:szCs w:val="21"/>
                      <w:lang w:val="en-US" w:eastAsia="zh-CN"/>
                    </w:rPr>
                    <w:t>集采首页</w:t>
                  </w:r>
                </w:p>
              </w:tc>
              <w:tc>
                <w:tcPr>
                  <w:tcW w:w="588" w:type="pct"/>
                  <w:tcBorders>
                    <w:tl2br w:val="nil"/>
                    <w:tr2bl w:val="nil"/>
                  </w:tcBorders>
                  <w:shd w:val="clear" w:color="auto" w:fill="auto"/>
                  <w:vAlign w:val="center"/>
                </w:tcPr>
                <w:p w14:paraId="6ABFA857">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集采决策支持</w:t>
                  </w:r>
                </w:p>
              </w:tc>
              <w:tc>
                <w:tcPr>
                  <w:tcW w:w="3868" w:type="pct"/>
                  <w:tcBorders>
                    <w:tl2br w:val="nil"/>
                    <w:tr2bl w:val="nil"/>
                  </w:tcBorders>
                  <w:shd w:val="clear" w:color="auto" w:fill="auto"/>
                  <w:vAlign w:val="center"/>
                </w:tcPr>
                <w:p w14:paraId="135DC121">
                  <w:pPr>
                    <w:bidi w:val="0"/>
                    <w:spacing w:line="360" w:lineRule="auto"/>
                    <w:ind w:firstLine="420" w:firstLineChars="200"/>
                    <w:rPr>
                      <w:rFonts w:hint="default" w:ascii="微软雅黑" w:hAnsi="微软雅黑" w:eastAsia="微软雅黑" w:cs="微软雅黑"/>
                      <w:color w:val="auto"/>
                      <w:kern w:val="2"/>
                      <w:sz w:val="21"/>
                      <w:szCs w:val="21"/>
                      <w:lang w:val="en-US" w:eastAsia="zh-CN" w:bidi="ar-SA"/>
                    </w:rPr>
                  </w:pPr>
                  <w:r>
                    <w:rPr>
                      <w:rFonts w:hint="eastAsia"/>
                      <w:lang w:val="en-US" w:eastAsia="zh-CN"/>
                    </w:rPr>
                    <w:t>通过图形展示直观分析各批次集采药品月度任务量完成情况、总任务量完成情况、月度任务未完成药品前10及其完成率变化趋势图，并可根据医院实际决策需求定制页面展示内容。</w:t>
                  </w:r>
                </w:p>
              </w:tc>
            </w:tr>
            <w:tr w14:paraId="1302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543" w:type="pct"/>
                  <w:vMerge w:val="restart"/>
                  <w:tcBorders>
                    <w:tl2br w:val="nil"/>
                    <w:tr2bl w:val="nil"/>
                  </w:tcBorders>
                  <w:shd w:val="clear" w:color="auto" w:fill="auto"/>
                  <w:vAlign w:val="center"/>
                </w:tcPr>
                <w:p w14:paraId="1DB23EDF">
                  <w:pPr>
                    <w:widowControl/>
                    <w:spacing w:line="360" w:lineRule="auto"/>
                    <w:jc w:val="center"/>
                    <w:rPr>
                      <w:rFonts w:hint="eastAsia" w:ascii="宋体" w:hAnsi="宋体" w:eastAsia="宋体" w:cs="宋体"/>
                      <w:b/>
                      <w:bCs/>
                      <w:color w:val="auto"/>
                      <w:kern w:val="0"/>
                      <w:szCs w:val="21"/>
                      <w:lang w:val="en-US" w:eastAsia="zh-CN"/>
                    </w:rPr>
                  </w:pPr>
                </w:p>
                <w:p w14:paraId="20EEDAFF">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集采药品使用监测</w:t>
                  </w:r>
                </w:p>
              </w:tc>
              <w:tc>
                <w:tcPr>
                  <w:tcW w:w="588" w:type="pct"/>
                  <w:tcBorders>
                    <w:tl2br w:val="nil"/>
                    <w:tr2bl w:val="nil"/>
                  </w:tcBorders>
                  <w:shd w:val="clear" w:color="auto" w:fill="auto"/>
                  <w:vAlign w:val="center"/>
                </w:tcPr>
                <w:p w14:paraId="7EBA6F1C">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首选集采</w:t>
                  </w:r>
                </w:p>
              </w:tc>
              <w:tc>
                <w:tcPr>
                  <w:tcW w:w="3868" w:type="pct"/>
                  <w:tcBorders>
                    <w:tl2br w:val="nil"/>
                    <w:tr2bl w:val="nil"/>
                  </w:tcBorders>
                  <w:shd w:val="clear" w:color="auto" w:fill="auto"/>
                  <w:vAlign w:val="center"/>
                </w:tcPr>
                <w:p w14:paraId="6DAAF1AE">
                  <w:pPr>
                    <w:bidi w:val="0"/>
                    <w:spacing w:line="360" w:lineRule="auto"/>
                    <w:ind w:firstLine="420" w:firstLineChars="200"/>
                    <w:rPr>
                      <w:rFonts w:hint="eastAsia" w:asciiTheme="minorAscii" w:hAnsiTheme="minorAscii" w:eastAsiaTheme="minorEastAsia" w:cstheme="minorBidi"/>
                      <w:kern w:val="2"/>
                      <w:sz w:val="21"/>
                      <w:szCs w:val="24"/>
                      <w:lang w:val="en-US" w:eastAsia="zh-CN" w:bidi="ar-SA"/>
                    </w:rPr>
                  </w:pPr>
                  <w:r>
                    <w:rPr>
                      <w:rFonts w:hint="eastAsia"/>
                      <w:lang w:val="en-US" w:eastAsia="zh-CN"/>
                    </w:rPr>
                    <w:t>根据集采药品可替代目录和集采药品任务量审查处方（医嘱）中是否首选集采药品，同时提示医生中选药品剩余任务量。任务量由系统自动计算，直接关联处方开具数量进行扣除。</w:t>
                  </w:r>
                </w:p>
              </w:tc>
            </w:tr>
            <w:tr w14:paraId="24C6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3" w:type="pct"/>
                  <w:vMerge w:val="continue"/>
                  <w:tcBorders>
                    <w:tl2br w:val="nil"/>
                    <w:tr2bl w:val="nil"/>
                  </w:tcBorders>
                  <w:shd w:val="clear" w:color="auto" w:fill="auto"/>
                  <w:vAlign w:val="center"/>
                </w:tcPr>
                <w:p w14:paraId="762745C3">
                  <w:pPr>
                    <w:widowControl/>
                    <w:spacing w:line="360" w:lineRule="auto"/>
                    <w:jc w:val="center"/>
                    <w:rPr>
                      <w:rFonts w:hint="eastAsia" w:ascii="宋体" w:hAnsi="宋体" w:eastAsia="宋体" w:cs="宋体"/>
                      <w:color w:val="auto"/>
                      <w:kern w:val="0"/>
                      <w:szCs w:val="21"/>
                      <w:lang w:val="en-US" w:eastAsia="zh-CN"/>
                    </w:rPr>
                  </w:pPr>
                </w:p>
              </w:tc>
              <w:tc>
                <w:tcPr>
                  <w:tcW w:w="588" w:type="pct"/>
                  <w:tcBorders>
                    <w:tl2br w:val="nil"/>
                    <w:tr2bl w:val="nil"/>
                  </w:tcBorders>
                  <w:shd w:val="clear" w:color="auto" w:fill="auto"/>
                  <w:vAlign w:val="center"/>
                </w:tcPr>
                <w:p w14:paraId="56098419">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非集采理由填报</w:t>
                  </w:r>
                </w:p>
              </w:tc>
              <w:tc>
                <w:tcPr>
                  <w:tcW w:w="3868" w:type="pct"/>
                  <w:tcBorders>
                    <w:tl2br w:val="nil"/>
                    <w:tr2bl w:val="nil"/>
                  </w:tcBorders>
                  <w:shd w:val="clear" w:color="auto" w:fill="auto"/>
                  <w:vAlign w:val="center"/>
                </w:tcPr>
                <w:p w14:paraId="06303478">
                  <w:pPr>
                    <w:bidi w:val="0"/>
                    <w:spacing w:line="360" w:lineRule="auto"/>
                    <w:ind w:firstLine="420" w:firstLineChars="200"/>
                    <w:rPr>
                      <w:rFonts w:hint="default"/>
                      <w:lang w:val="en-US" w:eastAsia="zh-CN"/>
                    </w:rPr>
                  </w:pPr>
                  <w:r>
                    <w:rPr>
                      <w:rFonts w:hint="eastAsia"/>
                      <w:lang w:val="en-US" w:eastAsia="zh-CN"/>
                    </w:rPr>
                    <w:t>系统提供医生未首选集采的理由填报功能，当系统提示首选集采药品，而医生仍坚持使用非集采药品时，须填写使用理由方可继续保存或发送药师审方。使用理由的选项可由药师自定义配置。</w:t>
                  </w:r>
                </w:p>
              </w:tc>
            </w:tr>
            <w:tr w14:paraId="3A30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3" w:type="pct"/>
                  <w:vMerge w:val="continue"/>
                  <w:tcBorders>
                    <w:tl2br w:val="nil"/>
                    <w:tr2bl w:val="nil"/>
                  </w:tcBorders>
                  <w:shd w:val="clear" w:color="auto" w:fill="auto"/>
                  <w:vAlign w:val="center"/>
                </w:tcPr>
                <w:p w14:paraId="7D9319BB">
                  <w:pPr>
                    <w:widowControl/>
                    <w:spacing w:line="360" w:lineRule="auto"/>
                    <w:jc w:val="center"/>
                    <w:rPr>
                      <w:rFonts w:hint="eastAsia" w:ascii="宋体" w:hAnsi="宋体" w:eastAsia="宋体" w:cs="宋体"/>
                      <w:color w:val="auto"/>
                      <w:kern w:val="0"/>
                      <w:szCs w:val="21"/>
                      <w:lang w:val="en-US" w:eastAsia="zh-CN"/>
                    </w:rPr>
                  </w:pPr>
                </w:p>
              </w:tc>
              <w:tc>
                <w:tcPr>
                  <w:tcW w:w="588" w:type="pct"/>
                  <w:tcBorders>
                    <w:tl2br w:val="nil"/>
                    <w:tr2bl w:val="nil"/>
                  </w:tcBorders>
                  <w:shd w:val="clear" w:color="auto" w:fill="auto"/>
                  <w:vAlign w:val="center"/>
                </w:tcPr>
                <w:p w14:paraId="4919035B">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自定义规则</w:t>
                  </w:r>
                </w:p>
              </w:tc>
              <w:tc>
                <w:tcPr>
                  <w:tcW w:w="3868" w:type="pct"/>
                  <w:tcBorders>
                    <w:tl2br w:val="nil"/>
                    <w:tr2bl w:val="nil"/>
                  </w:tcBorders>
                  <w:shd w:val="clear" w:color="auto" w:fill="auto"/>
                  <w:vAlign w:val="center"/>
                </w:tcPr>
                <w:p w14:paraId="7E379078">
                  <w:pPr>
                    <w:widowControl/>
                    <w:spacing w:line="360" w:lineRule="auto"/>
                    <w:ind w:firstLine="420" w:firstLineChars="200"/>
                    <w:jc w:val="left"/>
                    <w:rPr>
                      <w:rFonts w:hint="default"/>
                      <w:lang w:val="en-US" w:eastAsia="zh-CN"/>
                    </w:rPr>
                  </w:pPr>
                  <w:r>
                    <w:rPr>
                      <w:rFonts w:hint="eastAsia"/>
                      <w:lang w:val="en-US" w:eastAsia="zh-CN"/>
                    </w:rPr>
                    <w:t>系统支持在列表中查看和修改集采管控规则，同时，每个规则都支持采用思维导图方式展现，并支持药师在规则图中修改和新增规则。药师还可以根据实际需求自定义豁免规则，包括科室、医生、药品、药品分类、诊断等豁免情况，同时支持药师查看已豁免的处方医嘱记录。</w:t>
                  </w:r>
                </w:p>
              </w:tc>
            </w:tr>
            <w:tr w14:paraId="2A2E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3" w:type="pct"/>
                  <w:vMerge w:val="continue"/>
                  <w:tcBorders>
                    <w:tl2br w:val="nil"/>
                    <w:tr2bl w:val="nil"/>
                  </w:tcBorders>
                  <w:shd w:val="clear" w:color="auto" w:fill="auto"/>
                  <w:vAlign w:val="center"/>
                </w:tcPr>
                <w:p w14:paraId="1D011623">
                  <w:pPr>
                    <w:widowControl/>
                    <w:spacing w:line="360" w:lineRule="auto"/>
                    <w:jc w:val="center"/>
                    <w:rPr>
                      <w:rFonts w:hint="eastAsia" w:ascii="宋体" w:hAnsi="宋体" w:eastAsia="宋体" w:cs="宋体"/>
                      <w:color w:val="auto"/>
                      <w:kern w:val="0"/>
                      <w:szCs w:val="21"/>
                      <w:lang w:val="en-US" w:eastAsia="zh-CN"/>
                    </w:rPr>
                  </w:pPr>
                </w:p>
              </w:tc>
              <w:tc>
                <w:tcPr>
                  <w:tcW w:w="588" w:type="pct"/>
                  <w:tcBorders>
                    <w:tl2br w:val="nil"/>
                    <w:tr2bl w:val="nil"/>
                  </w:tcBorders>
                  <w:shd w:val="clear" w:color="auto" w:fill="auto"/>
                  <w:vAlign w:val="center"/>
                </w:tcPr>
                <w:p w14:paraId="5FADD0F9">
                  <w:pPr>
                    <w:bidi w:val="0"/>
                    <w:spacing w:line="360" w:lineRule="auto"/>
                    <w:rPr>
                      <w:rFonts w:hint="eastAsia" w:ascii="宋体" w:hAnsi="宋体" w:eastAsia="宋体" w:cs="宋体"/>
                      <w:color w:val="auto"/>
                      <w:kern w:val="0"/>
                      <w:szCs w:val="21"/>
                      <w:lang w:val="en-US" w:eastAsia="zh-CN"/>
                    </w:rPr>
                  </w:pPr>
                  <w:r>
                    <w:rPr>
                      <w:rFonts w:hint="eastAsia"/>
                      <w:color w:val="auto"/>
                      <w:lang w:val="en-US" w:eastAsia="zh-CN"/>
                    </w:rPr>
                    <w:t>集采管控指标</w:t>
                  </w:r>
                </w:p>
              </w:tc>
              <w:tc>
                <w:tcPr>
                  <w:tcW w:w="3868" w:type="pct"/>
                  <w:tcBorders>
                    <w:tl2br w:val="nil"/>
                    <w:tr2bl w:val="nil"/>
                  </w:tcBorders>
                  <w:shd w:val="clear" w:color="auto" w:fill="auto"/>
                  <w:vAlign w:val="center"/>
                </w:tcPr>
                <w:p w14:paraId="653AAE54">
                  <w:pPr>
                    <w:bidi w:val="0"/>
                    <w:spacing w:line="360" w:lineRule="auto"/>
                    <w:ind w:firstLine="420" w:firstLineChars="200"/>
                    <w:rPr>
                      <w:rFonts w:hint="eastAsia" w:ascii="微软雅黑" w:hAnsi="微软雅黑" w:eastAsia="微软雅黑" w:cs="微软雅黑"/>
                      <w:color w:val="auto"/>
                      <w:szCs w:val="21"/>
                      <w:lang w:val="en-US" w:eastAsia="zh-CN"/>
                    </w:rPr>
                  </w:pPr>
                  <w:r>
                    <w:rPr>
                      <w:rFonts w:hint="eastAsia"/>
                      <w:color w:val="auto"/>
                      <w:lang w:val="en-US" w:eastAsia="zh-CN"/>
                    </w:rPr>
                    <w:t>系统支持全院、科室、医生维度的中选药品本月用量、中选药品本月用量占比、中选药品累计用量、中选药品本月剩余用量、中选药品本月剩余用量占比指标管理，设置指标管理规则，并可根据医院实际管控要求增加指标。</w:t>
                  </w:r>
                </w:p>
              </w:tc>
            </w:tr>
            <w:tr w14:paraId="7CEC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3" w:type="pct"/>
                  <w:vMerge w:val="restart"/>
                  <w:tcBorders>
                    <w:tl2br w:val="nil"/>
                    <w:tr2bl w:val="nil"/>
                  </w:tcBorders>
                  <w:shd w:val="clear" w:color="auto" w:fill="auto"/>
                  <w:vAlign w:val="center"/>
                </w:tcPr>
                <w:p w14:paraId="50661E79">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集采任务和可替代药品管理</w:t>
                  </w:r>
                </w:p>
              </w:tc>
              <w:tc>
                <w:tcPr>
                  <w:tcW w:w="588" w:type="pct"/>
                  <w:tcBorders>
                    <w:tl2br w:val="nil"/>
                    <w:tr2bl w:val="nil"/>
                  </w:tcBorders>
                  <w:shd w:val="clear" w:color="auto" w:fill="auto"/>
                  <w:vAlign w:val="center"/>
                </w:tcPr>
                <w:p w14:paraId="355E7E2F">
                  <w:pPr>
                    <w:widowControl/>
                    <w:spacing w:line="360" w:lineRule="auto"/>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集采任务管理</w:t>
                  </w:r>
                </w:p>
              </w:tc>
              <w:tc>
                <w:tcPr>
                  <w:tcW w:w="3868" w:type="pct"/>
                  <w:tcBorders>
                    <w:tl2br w:val="nil"/>
                    <w:tr2bl w:val="nil"/>
                  </w:tcBorders>
                  <w:shd w:val="clear" w:color="auto" w:fill="auto"/>
                  <w:vAlign w:val="center"/>
                </w:tcPr>
                <w:p w14:paraId="26E27EEA">
                  <w:pPr>
                    <w:bidi w:val="0"/>
                    <w:spacing w:line="360" w:lineRule="auto"/>
                    <w:ind w:firstLine="420" w:firstLineChars="200"/>
                    <w:rPr>
                      <w:rFonts w:hint="eastAsia" w:ascii="宋体" w:hAnsi="宋体" w:eastAsia="宋体" w:cs="宋体"/>
                      <w:color w:val="auto"/>
                      <w:kern w:val="0"/>
                      <w:sz w:val="21"/>
                      <w:szCs w:val="21"/>
                      <w:lang w:val="en-US" w:eastAsia="zh-CN" w:bidi="ar-SA"/>
                    </w:rPr>
                  </w:pPr>
                  <w:r>
                    <w:rPr>
                      <w:rFonts w:hint="eastAsia"/>
                      <w:lang w:val="en-US" w:eastAsia="zh-CN"/>
                    </w:rPr>
                    <w:t>系统提供集采药品任务管理功能，包含集采批次、开始日期、结束日期、 是否中选、 是否原研和任务量、目标任务量、月度任务量、月度使用量、月度完成率等，可以对集采批次数据进行版本管理。集采药品可以将年度任务量分配到科室、病区、医生，明确科室和医生的任务量。</w:t>
                  </w:r>
                </w:p>
              </w:tc>
            </w:tr>
            <w:tr w14:paraId="632D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3" w:type="pct"/>
                  <w:vMerge w:val="continue"/>
                  <w:tcBorders>
                    <w:tl2br w:val="nil"/>
                    <w:tr2bl w:val="nil"/>
                  </w:tcBorders>
                  <w:shd w:val="clear" w:color="auto" w:fill="auto"/>
                  <w:vAlign w:val="center"/>
                </w:tcPr>
                <w:p w14:paraId="1B38EA48">
                  <w:pPr>
                    <w:widowControl/>
                    <w:spacing w:line="360" w:lineRule="auto"/>
                    <w:jc w:val="center"/>
                    <w:rPr>
                      <w:rFonts w:hint="eastAsia" w:ascii="宋体" w:hAnsi="宋体" w:eastAsia="宋体" w:cs="宋体"/>
                      <w:color w:val="auto"/>
                      <w:kern w:val="0"/>
                      <w:szCs w:val="21"/>
                      <w:lang w:val="en-US" w:eastAsia="zh-CN"/>
                    </w:rPr>
                  </w:pPr>
                </w:p>
              </w:tc>
              <w:tc>
                <w:tcPr>
                  <w:tcW w:w="588" w:type="pct"/>
                  <w:tcBorders>
                    <w:tl2br w:val="nil"/>
                    <w:tr2bl w:val="nil"/>
                  </w:tcBorders>
                  <w:shd w:val="clear" w:color="auto" w:fill="auto"/>
                  <w:vAlign w:val="center"/>
                </w:tcPr>
                <w:p w14:paraId="3E30BD5F">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智能预测任务量</w:t>
                  </w:r>
                </w:p>
              </w:tc>
              <w:tc>
                <w:tcPr>
                  <w:tcW w:w="3868" w:type="pct"/>
                  <w:tcBorders>
                    <w:tl2br w:val="nil"/>
                    <w:tr2bl w:val="nil"/>
                  </w:tcBorders>
                  <w:shd w:val="clear" w:color="auto" w:fill="auto"/>
                  <w:vAlign w:val="center"/>
                </w:tcPr>
                <w:p w14:paraId="7DAA7C8B">
                  <w:pPr>
                    <w:bidi w:val="0"/>
                    <w:spacing w:line="360" w:lineRule="auto"/>
                    <w:ind w:firstLine="420" w:firstLineChars="200"/>
                    <w:rPr>
                      <w:rFonts w:hint="eastAsia"/>
                      <w:lang w:val="en-US" w:eastAsia="zh-CN"/>
                    </w:rPr>
                  </w:pPr>
                  <w:r>
                    <w:rPr>
                      <w:rFonts w:hint="eastAsia"/>
                      <w:lang w:val="en-US" w:eastAsia="zh-CN"/>
                    </w:rPr>
                    <w:t>系统支持根据本年度的集采药品任务完成情况智能预测当前任务周期内剩余月份任务量，预测数据随每月的任务完成情况自动调整，药师可以将预测数据调整为正式任务量。</w:t>
                  </w:r>
                </w:p>
              </w:tc>
            </w:tr>
            <w:tr w14:paraId="07AA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3" w:type="pct"/>
                  <w:vMerge w:val="continue"/>
                  <w:tcBorders>
                    <w:tl2br w:val="nil"/>
                    <w:tr2bl w:val="nil"/>
                  </w:tcBorders>
                  <w:shd w:val="clear" w:color="auto" w:fill="auto"/>
                  <w:vAlign w:val="center"/>
                </w:tcPr>
                <w:p w14:paraId="1C5C7B09">
                  <w:pPr>
                    <w:widowControl/>
                    <w:spacing w:line="360" w:lineRule="auto"/>
                    <w:jc w:val="center"/>
                    <w:rPr>
                      <w:rFonts w:hint="eastAsia" w:ascii="宋体" w:hAnsi="宋体" w:eastAsia="宋体" w:cs="宋体"/>
                      <w:color w:val="auto"/>
                      <w:kern w:val="0"/>
                      <w:szCs w:val="21"/>
                      <w:lang w:val="en-US" w:eastAsia="zh-CN"/>
                    </w:rPr>
                  </w:pPr>
                </w:p>
              </w:tc>
              <w:tc>
                <w:tcPr>
                  <w:tcW w:w="588" w:type="pct"/>
                  <w:tcBorders>
                    <w:tl2br w:val="nil"/>
                    <w:tr2bl w:val="nil"/>
                  </w:tcBorders>
                  <w:shd w:val="clear" w:color="auto" w:fill="auto"/>
                  <w:vAlign w:val="center"/>
                </w:tcPr>
                <w:p w14:paraId="06D4E875">
                  <w:pPr>
                    <w:widowControl/>
                    <w:spacing w:line="360" w:lineRule="auto"/>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集采药品可替代</w:t>
                  </w:r>
                </w:p>
              </w:tc>
              <w:tc>
                <w:tcPr>
                  <w:tcW w:w="3868" w:type="pct"/>
                  <w:tcBorders>
                    <w:tl2br w:val="nil"/>
                    <w:tr2bl w:val="nil"/>
                  </w:tcBorders>
                  <w:shd w:val="clear" w:color="auto" w:fill="auto"/>
                  <w:vAlign w:val="center"/>
                </w:tcPr>
                <w:p w14:paraId="0DB9343C">
                  <w:pPr>
                    <w:bidi w:val="0"/>
                    <w:spacing w:line="360" w:lineRule="auto"/>
                    <w:ind w:firstLine="420" w:firstLineChars="200"/>
                    <w:rPr>
                      <w:rFonts w:hint="default" w:asciiTheme="minorAscii" w:hAnsiTheme="minorAscii" w:eastAsiaTheme="minorEastAsia" w:cstheme="minorBidi"/>
                      <w:kern w:val="2"/>
                      <w:sz w:val="21"/>
                      <w:szCs w:val="24"/>
                      <w:lang w:val="en-US" w:eastAsia="zh-CN" w:bidi="ar-SA"/>
                    </w:rPr>
                  </w:pPr>
                  <w:r>
                    <w:rPr>
                      <w:rFonts w:hint="eastAsia"/>
                      <w:lang w:val="en-US" w:eastAsia="zh-CN"/>
                    </w:rPr>
                    <w:t>系统提供实现集采药品替代同品种药品的方案，维护其在临床上可替代的品种，将替代品种分为完全可替代、基本可替代、特定条件下可替代三类，支持药师自定义维护目录。该目录作为首选基药规则的判断依据。</w:t>
                  </w:r>
                </w:p>
              </w:tc>
            </w:tr>
            <w:tr w14:paraId="62C5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3" w:type="pct"/>
                  <w:vMerge w:val="restart"/>
                  <w:tcBorders>
                    <w:tl2br w:val="nil"/>
                    <w:tr2bl w:val="nil"/>
                  </w:tcBorders>
                  <w:shd w:val="clear" w:color="auto" w:fill="auto"/>
                  <w:vAlign w:val="center"/>
                </w:tcPr>
                <w:p w14:paraId="32747C90">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集采药品使用分析</w:t>
                  </w:r>
                </w:p>
              </w:tc>
              <w:tc>
                <w:tcPr>
                  <w:tcW w:w="588" w:type="pct"/>
                  <w:tcBorders>
                    <w:tl2br w:val="nil"/>
                    <w:tr2bl w:val="nil"/>
                  </w:tcBorders>
                  <w:shd w:val="clear" w:color="auto" w:fill="auto"/>
                  <w:vAlign w:val="center"/>
                </w:tcPr>
                <w:p w14:paraId="2A1560D8">
                  <w:pPr>
                    <w:widowControl/>
                    <w:spacing w:line="360" w:lineRule="auto"/>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任务完成情况</w:t>
                  </w:r>
                </w:p>
              </w:tc>
              <w:tc>
                <w:tcPr>
                  <w:tcW w:w="3868" w:type="pct"/>
                  <w:tcBorders>
                    <w:tl2br w:val="nil"/>
                    <w:tr2bl w:val="nil"/>
                  </w:tcBorders>
                  <w:shd w:val="clear" w:color="auto" w:fill="auto"/>
                  <w:vAlign w:val="center"/>
                </w:tcPr>
                <w:p w14:paraId="58511033">
                  <w:pPr>
                    <w:spacing w:line="360" w:lineRule="auto"/>
                    <w:ind w:firstLine="420" w:firstLineChars="200"/>
                    <w:rPr>
                      <w:rFonts w:hint="eastAsia" w:ascii="微软雅黑" w:hAnsi="微软雅黑" w:eastAsia="微软雅黑" w:cs="微软雅黑"/>
                      <w:color w:val="auto"/>
                      <w:szCs w:val="21"/>
                      <w:lang w:val="en-US" w:eastAsia="zh-CN"/>
                    </w:rPr>
                  </w:pPr>
                  <w:r>
                    <w:rPr>
                      <w:rFonts w:hint="eastAsia"/>
                      <w:lang w:val="en-US" w:eastAsia="zh-CN"/>
                    </w:rPr>
                    <w:t>根据医院任务分配的实际需求，统计全院/科室/医生集采药品当前任务完成情况、累计完成量、任务周期完成情况等。</w:t>
                  </w:r>
                </w:p>
              </w:tc>
            </w:tr>
            <w:tr w14:paraId="1204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3" w:type="pct"/>
                  <w:vMerge w:val="continue"/>
                  <w:tcBorders>
                    <w:tl2br w:val="nil"/>
                    <w:tr2bl w:val="nil"/>
                  </w:tcBorders>
                  <w:shd w:val="clear" w:color="auto" w:fill="auto"/>
                  <w:vAlign w:val="center"/>
                </w:tcPr>
                <w:p w14:paraId="0610085F">
                  <w:pPr>
                    <w:widowControl/>
                    <w:spacing w:line="360" w:lineRule="auto"/>
                    <w:jc w:val="center"/>
                    <w:rPr>
                      <w:rFonts w:hint="default" w:ascii="宋体" w:hAnsi="宋体" w:eastAsia="宋体" w:cs="宋体"/>
                      <w:color w:val="auto"/>
                      <w:kern w:val="0"/>
                      <w:szCs w:val="21"/>
                      <w:lang w:val="en-US" w:eastAsia="zh-CN"/>
                    </w:rPr>
                  </w:pPr>
                </w:p>
              </w:tc>
              <w:tc>
                <w:tcPr>
                  <w:tcW w:w="588" w:type="pct"/>
                  <w:tcBorders>
                    <w:tl2br w:val="nil"/>
                    <w:tr2bl w:val="nil"/>
                  </w:tcBorders>
                  <w:shd w:val="clear" w:color="auto" w:fill="auto"/>
                  <w:vAlign w:val="center"/>
                </w:tcPr>
                <w:p w14:paraId="580AB324">
                  <w:pPr>
                    <w:widowControl/>
                    <w:spacing w:line="360" w:lineRule="auto"/>
                    <w:jc w:val="center"/>
                    <w:rPr>
                      <w:rFonts w:hint="default"/>
                      <w:lang w:val="en-US" w:eastAsia="zh-CN"/>
                    </w:rPr>
                  </w:pPr>
                  <w:r>
                    <w:rPr>
                      <w:rFonts w:hint="eastAsia" w:ascii="宋体" w:hAnsi="宋体" w:eastAsia="宋体" w:cs="宋体"/>
                      <w:color w:val="auto"/>
                      <w:kern w:val="0"/>
                      <w:szCs w:val="21"/>
                      <w:lang w:val="en-US" w:eastAsia="zh-CN"/>
                    </w:rPr>
                    <w:t>可视化图表</w:t>
                  </w:r>
                </w:p>
              </w:tc>
              <w:tc>
                <w:tcPr>
                  <w:tcW w:w="3868" w:type="pct"/>
                  <w:tcBorders>
                    <w:tl2br w:val="nil"/>
                    <w:tr2bl w:val="nil"/>
                  </w:tcBorders>
                  <w:shd w:val="clear" w:color="auto" w:fill="auto"/>
                  <w:vAlign w:val="center"/>
                </w:tcPr>
                <w:p w14:paraId="621775AC">
                  <w:pPr>
                    <w:numPr>
                      <w:ilvl w:val="-1"/>
                      <w:numId w:val="0"/>
                    </w:numPr>
                    <w:bidi w:val="0"/>
                    <w:spacing w:line="360" w:lineRule="auto"/>
                    <w:ind w:left="0" w:leftChars="0" w:firstLine="420" w:firstLineChars="200"/>
                    <w:rPr>
                      <w:rFonts w:hint="default"/>
                      <w:lang w:val="en-US" w:eastAsia="zh-CN"/>
                    </w:rPr>
                  </w:pPr>
                  <w:r>
                    <w:rPr>
                      <w:rFonts w:hint="eastAsia"/>
                      <w:lang w:val="en-US" w:eastAsia="zh-CN"/>
                    </w:rPr>
                    <w:t>系统支持添加可视化图表，展示指标近12个月的变化趋势。</w:t>
                  </w:r>
                </w:p>
              </w:tc>
            </w:tr>
            <w:tr w14:paraId="56AC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3" w:type="pct"/>
                  <w:vMerge w:val="continue"/>
                  <w:tcBorders>
                    <w:tl2br w:val="nil"/>
                    <w:tr2bl w:val="nil"/>
                  </w:tcBorders>
                  <w:shd w:val="clear" w:color="auto" w:fill="auto"/>
                  <w:vAlign w:val="center"/>
                </w:tcPr>
                <w:p w14:paraId="63B084D1">
                  <w:pPr>
                    <w:widowControl/>
                    <w:spacing w:line="360" w:lineRule="auto"/>
                    <w:jc w:val="center"/>
                    <w:rPr>
                      <w:rFonts w:hint="eastAsia" w:ascii="宋体" w:hAnsi="宋体" w:eastAsia="宋体" w:cs="宋体"/>
                      <w:color w:val="auto"/>
                      <w:kern w:val="0"/>
                      <w:szCs w:val="21"/>
                      <w:lang w:val="en-US" w:eastAsia="zh-CN"/>
                    </w:rPr>
                  </w:pPr>
                  <w:bookmarkStart w:id="28" w:name="_Toc30364"/>
                  <w:bookmarkStart w:id="29" w:name="_Toc15441"/>
                  <w:bookmarkStart w:id="30" w:name="_Toc16748"/>
                  <w:bookmarkStart w:id="31" w:name="_Toc18621"/>
                  <w:bookmarkStart w:id="32" w:name="_Toc24848"/>
                  <w:bookmarkStart w:id="33" w:name="_Toc27874"/>
                  <w:bookmarkStart w:id="34" w:name="_Toc2653"/>
                </w:p>
              </w:tc>
              <w:tc>
                <w:tcPr>
                  <w:tcW w:w="588" w:type="pct"/>
                  <w:tcBorders>
                    <w:tl2br w:val="nil"/>
                    <w:tr2bl w:val="nil"/>
                  </w:tcBorders>
                  <w:shd w:val="clear" w:color="auto" w:fill="auto"/>
                  <w:vAlign w:val="center"/>
                </w:tcPr>
                <w:p w14:paraId="2F9D2D39">
                  <w:pPr>
                    <w:widowControl/>
                    <w:spacing w:line="360" w:lineRule="auto"/>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报表访问权限</w:t>
                  </w:r>
                </w:p>
              </w:tc>
              <w:tc>
                <w:tcPr>
                  <w:tcW w:w="3868" w:type="pct"/>
                  <w:tcBorders>
                    <w:tl2br w:val="nil"/>
                    <w:tr2bl w:val="nil"/>
                  </w:tcBorders>
                  <w:shd w:val="clear" w:color="auto" w:fill="auto"/>
                  <w:vAlign w:val="center"/>
                </w:tcPr>
                <w:p w14:paraId="6EA21FB8">
                  <w:pPr>
                    <w:numPr>
                      <w:ilvl w:val="-1"/>
                      <w:numId w:val="0"/>
                    </w:numPr>
                    <w:bidi w:val="0"/>
                    <w:spacing w:line="360" w:lineRule="auto"/>
                    <w:ind w:left="0" w:leftChars="0" w:firstLine="420" w:firstLineChars="200"/>
                    <w:rPr>
                      <w:rFonts w:hint="eastAsia"/>
                      <w:lang w:val="en-US" w:eastAsia="zh-CN"/>
                    </w:rPr>
                  </w:pPr>
                  <w:r>
                    <w:rPr>
                      <w:rFonts w:hint="eastAsia"/>
                      <w:lang w:val="en-US" w:eastAsia="zh-CN"/>
                    </w:rPr>
                    <w:t>报表访问权限要求按角色进行授权，查询和下载权限分开授权。可在角色权限的基础上设置具体报表访问的白名单和黑名单，支持配置临时授权访问的时长。</w:t>
                  </w:r>
                </w:p>
              </w:tc>
            </w:tr>
            <w:tr w14:paraId="6D6D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3" w:type="pct"/>
                  <w:vMerge w:val="continue"/>
                  <w:tcBorders>
                    <w:tl2br w:val="nil"/>
                    <w:tr2bl w:val="nil"/>
                  </w:tcBorders>
                  <w:shd w:val="clear" w:color="auto" w:fill="auto"/>
                  <w:vAlign w:val="center"/>
                </w:tcPr>
                <w:p w14:paraId="633B694E">
                  <w:pPr>
                    <w:widowControl/>
                    <w:spacing w:line="360" w:lineRule="auto"/>
                    <w:jc w:val="center"/>
                    <w:rPr>
                      <w:rFonts w:hint="eastAsia" w:ascii="宋体" w:hAnsi="宋体" w:eastAsia="宋体" w:cs="宋体"/>
                      <w:color w:val="auto"/>
                      <w:kern w:val="0"/>
                      <w:szCs w:val="21"/>
                      <w:lang w:val="en-US" w:eastAsia="zh-CN"/>
                    </w:rPr>
                  </w:pPr>
                </w:p>
              </w:tc>
              <w:tc>
                <w:tcPr>
                  <w:tcW w:w="588" w:type="pct"/>
                  <w:tcBorders>
                    <w:tl2br w:val="nil"/>
                    <w:tr2bl w:val="nil"/>
                  </w:tcBorders>
                  <w:shd w:val="clear" w:color="auto" w:fill="auto"/>
                  <w:vAlign w:val="center"/>
                </w:tcPr>
                <w:p w14:paraId="4D8728AE">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任务完成情况</w:t>
                  </w:r>
                </w:p>
              </w:tc>
              <w:tc>
                <w:tcPr>
                  <w:tcW w:w="3868" w:type="pct"/>
                  <w:tcBorders>
                    <w:tl2br w:val="nil"/>
                    <w:tr2bl w:val="nil"/>
                  </w:tcBorders>
                  <w:shd w:val="clear" w:color="auto" w:fill="auto"/>
                  <w:vAlign w:val="center"/>
                </w:tcPr>
                <w:p w14:paraId="1D3428EA">
                  <w:pPr>
                    <w:spacing w:line="360" w:lineRule="auto"/>
                    <w:ind w:firstLine="420" w:firstLineChars="200"/>
                    <w:rPr>
                      <w:rFonts w:hint="eastAsia" w:asciiTheme="minorAscii" w:hAnsiTheme="minorAscii" w:eastAsiaTheme="minorEastAsia" w:cstheme="minorBidi"/>
                      <w:kern w:val="2"/>
                      <w:sz w:val="21"/>
                      <w:szCs w:val="24"/>
                      <w:lang w:val="en-US" w:eastAsia="zh-CN" w:bidi="ar-SA"/>
                    </w:rPr>
                  </w:pPr>
                  <w:r>
                    <w:rPr>
                      <w:rFonts w:hint="eastAsia"/>
                      <w:lang w:val="en-US" w:eastAsia="zh-CN"/>
                    </w:rPr>
                    <w:t>根据医院任务分配的实际需求，统计全院/科室/医生集采药品当前任务完成情况、累计完成量、任务周期完成情况等。</w:t>
                  </w:r>
                </w:p>
              </w:tc>
            </w:tr>
            <w:tr w14:paraId="4D4C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3" w:type="pct"/>
                  <w:vMerge w:val="continue"/>
                  <w:tcBorders>
                    <w:tl2br w:val="nil"/>
                    <w:tr2bl w:val="nil"/>
                  </w:tcBorders>
                  <w:shd w:val="clear" w:color="auto" w:fill="auto"/>
                  <w:vAlign w:val="center"/>
                </w:tcPr>
                <w:p w14:paraId="01AA63C7">
                  <w:pPr>
                    <w:widowControl/>
                    <w:spacing w:line="360" w:lineRule="auto"/>
                    <w:jc w:val="center"/>
                    <w:rPr>
                      <w:rFonts w:hint="eastAsia" w:ascii="宋体" w:hAnsi="宋体" w:eastAsia="宋体" w:cs="宋体"/>
                      <w:color w:val="auto"/>
                      <w:kern w:val="0"/>
                      <w:szCs w:val="21"/>
                      <w:lang w:val="en-US" w:eastAsia="zh-CN"/>
                    </w:rPr>
                  </w:pPr>
                </w:p>
              </w:tc>
              <w:tc>
                <w:tcPr>
                  <w:tcW w:w="588" w:type="pct"/>
                  <w:tcBorders>
                    <w:tl2br w:val="nil"/>
                    <w:tr2bl w:val="nil"/>
                  </w:tcBorders>
                  <w:shd w:val="clear" w:color="auto" w:fill="auto"/>
                  <w:vAlign w:val="center"/>
                </w:tcPr>
                <w:p w14:paraId="5E5681E7">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处方用药情况</w:t>
                  </w:r>
                </w:p>
              </w:tc>
              <w:tc>
                <w:tcPr>
                  <w:tcW w:w="3868" w:type="pct"/>
                  <w:tcBorders>
                    <w:tl2br w:val="nil"/>
                    <w:tr2bl w:val="nil"/>
                  </w:tcBorders>
                  <w:shd w:val="clear" w:color="auto" w:fill="auto"/>
                  <w:vAlign w:val="center"/>
                </w:tcPr>
                <w:p w14:paraId="0C6227CE">
                  <w:pPr>
                    <w:bidi w:val="0"/>
                    <w:spacing w:line="360" w:lineRule="auto"/>
                    <w:ind w:firstLine="420" w:firstLineChars="200"/>
                    <w:rPr>
                      <w:rFonts w:hint="eastAsia" w:asciiTheme="minorAscii" w:hAnsiTheme="minorAscii" w:eastAsiaTheme="minorEastAsia" w:cstheme="minorBidi"/>
                      <w:kern w:val="2"/>
                      <w:sz w:val="21"/>
                      <w:szCs w:val="24"/>
                      <w:lang w:val="en-US" w:eastAsia="zh-CN" w:bidi="ar-SA"/>
                    </w:rPr>
                  </w:pPr>
                  <w:r>
                    <w:rPr>
                      <w:rFonts w:hint="eastAsia"/>
                      <w:lang w:val="en-US" w:eastAsia="zh-CN"/>
                    </w:rPr>
                    <w:t>统计中选与非中选药品的订单情况、出入库情况、处方量情况、集采药品金额占比。</w:t>
                  </w:r>
                </w:p>
              </w:tc>
            </w:tr>
            <w:bookmarkEnd w:id="28"/>
            <w:bookmarkEnd w:id="29"/>
            <w:bookmarkEnd w:id="30"/>
            <w:bookmarkEnd w:id="31"/>
            <w:bookmarkEnd w:id="32"/>
            <w:bookmarkEnd w:id="33"/>
            <w:bookmarkEnd w:id="34"/>
          </w:tbl>
          <w:p w14:paraId="1785B7A6"/>
          <w:p w14:paraId="4BE44777"/>
          <w:p w14:paraId="3B5401A1"/>
        </w:tc>
      </w:tr>
      <w:tr w14:paraId="015AF347">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F3087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二、</w:t>
            </w:r>
            <w:r>
              <w:rPr>
                <w:rFonts w:hint="eastAsia" w:ascii="等线" w:hAnsi="等线" w:eastAsia="等线" w:cs="宋体"/>
                <w:color w:val="000000"/>
                <w:kern w:val="0"/>
                <w:sz w:val="22"/>
                <w:lang w:val="en-US" w:eastAsia="zh-CN"/>
              </w:rPr>
              <w:t>基本</w:t>
            </w:r>
            <w:r>
              <w:rPr>
                <w:rFonts w:hint="eastAsia" w:ascii="等线" w:hAnsi="等线" w:eastAsia="等线" w:cs="宋体"/>
                <w:color w:val="000000"/>
                <w:kern w:val="0"/>
                <w:sz w:val="22"/>
              </w:rPr>
              <w:t>要求</w:t>
            </w:r>
          </w:p>
        </w:tc>
      </w:tr>
      <w:tr w14:paraId="7F5801A5">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5FE7341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1、投标人提供产品应满足</w:t>
            </w:r>
            <w:r>
              <w:rPr>
                <w:rFonts w:hint="eastAsia" w:ascii="等线" w:hAnsi="等线" w:eastAsia="等线" w:cs="宋体"/>
                <w:color w:val="000000"/>
                <w:kern w:val="0"/>
                <w:sz w:val="22"/>
                <w:lang w:val="en-US" w:eastAsia="zh-CN"/>
              </w:rPr>
              <w:t>采购人要求标准，包括但不限于</w:t>
            </w:r>
            <w:r>
              <w:rPr>
                <w:rFonts w:hint="eastAsia" w:ascii="等线" w:hAnsi="等线" w:eastAsia="等线" w:cs="宋体"/>
                <w:color w:val="000000"/>
                <w:kern w:val="0"/>
                <w:sz w:val="22"/>
                <w:lang w:eastAsia="zh-CN"/>
              </w:rPr>
              <w:t>如下标准：</w:t>
            </w:r>
          </w:p>
          <w:p w14:paraId="79A12B78">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（1）《电子病历系统功能应用水平分级评价方法及标准》六级以上</w:t>
            </w:r>
          </w:p>
          <w:p w14:paraId="3AE4A777">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（2）《医院信息互联互通标准化成熟度测评方案》四级甲等以上</w:t>
            </w:r>
          </w:p>
          <w:p w14:paraId="64F6962A">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（3）《医院智慧服务分级评估标准体系》三级以上</w:t>
            </w:r>
          </w:p>
          <w:p w14:paraId="26F17791">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（4）《医院智慧管理分级评估标准体系》三级以上</w:t>
            </w:r>
          </w:p>
          <w:p w14:paraId="2C1F8F6D">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（5）《信息安全技术网络安全等级保护基本要求》三级</w:t>
            </w:r>
          </w:p>
          <w:p w14:paraId="26C1C4F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（6）《医院信息系统基本功能规范》</w:t>
            </w:r>
          </w:p>
          <w:p w14:paraId="6A4D5A5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（7）《中医医院信息系统基本功能规范》</w:t>
            </w:r>
          </w:p>
          <w:p w14:paraId="3A48E2DC">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（8）《全国医院信息化建设标准与规范》</w:t>
            </w:r>
          </w:p>
          <w:p w14:paraId="5C9DCCA7">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（9）《卫生系统电子认证服务规范》</w:t>
            </w:r>
          </w:p>
          <w:p w14:paraId="411136FE">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（10）《三级中医医院评审标准》</w:t>
            </w:r>
          </w:p>
          <w:p w14:paraId="3853C1C6">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（11）《信息安全技术个人信息安全规范》</w:t>
            </w:r>
          </w:p>
          <w:p w14:paraId="582E150F">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（12）所有系统能够按照相关标准（和/或甲方要求）由供应商免费接入医院信息集成平台。</w:t>
            </w:r>
          </w:p>
          <w:p w14:paraId="0132504B">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2</w:t>
            </w:r>
            <w:r>
              <w:rPr>
                <w:rFonts w:hint="eastAsia" w:ascii="等线" w:hAnsi="等线" w:eastAsia="等线" w:cs="宋体"/>
                <w:color w:val="000000"/>
                <w:kern w:val="0"/>
                <w:sz w:val="22"/>
                <w:lang w:eastAsia="zh-CN"/>
              </w:rPr>
              <w:t>.完全自主知识产权，有专业软件工程师定期系统维护及升级。</w:t>
            </w:r>
          </w:p>
        </w:tc>
      </w:tr>
      <w:tr w14:paraId="03DB09F9">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2D98625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三、商务要求</w:t>
            </w:r>
          </w:p>
        </w:tc>
      </w:tr>
      <w:tr w14:paraId="1933BBCA">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6F47FF28">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1.</w:t>
            </w:r>
            <w:r>
              <w:rPr>
                <w:rFonts w:hint="eastAsia" w:ascii="等线" w:hAnsi="等线" w:eastAsia="等线" w:cs="宋体"/>
                <w:color w:val="000000"/>
                <w:kern w:val="0"/>
                <w:sz w:val="22"/>
                <w:lang w:eastAsia="zh-CN"/>
              </w:rPr>
              <w:t>本项目本项目为交钥匙工程，投标价应为人民币含税全包价，投标价格为固定价格，包括但不限于以下费用：</w:t>
            </w:r>
          </w:p>
          <w:p w14:paraId="7D0B4DE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（1）完整的产品软件、技术文件的费用、系统的设计、开发测试、安装调试技术服务费用及所发生相应的费用；</w:t>
            </w:r>
          </w:p>
          <w:p w14:paraId="5B3D9DBE">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（2）软件永久许可使用费；</w:t>
            </w:r>
          </w:p>
          <w:p w14:paraId="3808E50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（3）免费维保期内的服务费用和升级改造费用；</w:t>
            </w:r>
          </w:p>
          <w:p w14:paraId="63E32FC0">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（4）系统培训、验收、售后服务、智慧医院建设目标测评所需的费用及相关服务等一切费用；</w:t>
            </w:r>
          </w:p>
          <w:p w14:paraId="000976ED">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（5）与医院信息系统间的接口开发、对接医院现有信息系统及日后智慧医院信息系统接入平台升级改造涉及的所有费用均由</w:t>
            </w:r>
            <w:r>
              <w:rPr>
                <w:rFonts w:hint="eastAsia" w:ascii="等线" w:hAnsi="等线" w:eastAsia="等线" w:cs="宋体"/>
                <w:color w:val="000000"/>
                <w:kern w:val="0"/>
                <w:sz w:val="22"/>
                <w:lang w:val="en-US" w:eastAsia="zh-CN"/>
              </w:rPr>
              <w:t>投标人</w:t>
            </w:r>
            <w:r>
              <w:rPr>
                <w:rFonts w:hint="eastAsia" w:ascii="等线" w:hAnsi="等线" w:eastAsia="等线" w:cs="宋体"/>
                <w:color w:val="000000"/>
                <w:kern w:val="0"/>
                <w:sz w:val="22"/>
                <w:lang w:eastAsia="zh-CN"/>
              </w:rPr>
              <w:t>支付，确保项目达到智慧项目目标，采购人不再支付任何其他费用；</w:t>
            </w:r>
          </w:p>
          <w:p w14:paraId="4322F86B">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6）正常运行系统并达到需求标准所需的专用硬件和相关系统软件（服务器、存储设备、负载均衡设备和数据库软件除外），专用硬件包括但不限于采集卡、控制器、连接线、转接线、接口转换器、网卡、网线等；相关系统软件包括实现功能清单功能的系统软件、实现功能需求和智慧医院建设目标必须具备的辅助软件，如虚拟化软件、备份软件、管理工具等，无需再额外采购其它软硬件。</w:t>
            </w:r>
          </w:p>
          <w:p w14:paraId="7955F257">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（7）为完成本项目义务所需支付的其他费用。</w:t>
            </w:r>
          </w:p>
          <w:p w14:paraId="54AC408F">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2</w:t>
            </w:r>
            <w:r>
              <w:rPr>
                <w:rFonts w:hint="eastAsia" w:ascii="等线" w:hAnsi="等线" w:eastAsia="等线" w:cs="宋体"/>
                <w:color w:val="000000"/>
                <w:kern w:val="0"/>
                <w:sz w:val="22"/>
                <w:lang w:eastAsia="zh-CN"/>
              </w:rPr>
              <w:t>.免费维保期不少于2年，维保期结束后维保费用不超合同总价</w:t>
            </w:r>
            <w:r>
              <w:rPr>
                <w:rFonts w:hint="eastAsia" w:ascii="等线" w:hAnsi="等线" w:eastAsia="等线" w:cs="宋体"/>
                <w:color w:val="000000"/>
                <w:kern w:val="0"/>
                <w:sz w:val="22"/>
                <w:lang w:val="en-US" w:eastAsia="zh-CN"/>
              </w:rPr>
              <w:t>7</w:t>
            </w:r>
            <w:r>
              <w:rPr>
                <w:rFonts w:hint="eastAsia" w:ascii="等线" w:hAnsi="等线" w:eastAsia="等线" w:cs="宋体"/>
                <w:color w:val="000000"/>
                <w:kern w:val="0"/>
                <w:sz w:val="22"/>
                <w:lang w:eastAsia="zh-CN"/>
              </w:rPr>
              <w:t>%。</w:t>
            </w:r>
          </w:p>
        </w:tc>
      </w:tr>
    </w:tbl>
    <w:p w14:paraId="55EA1EA3"/>
    <w:sectPr>
      <w:footerReference r:id="rId3" w:type="default"/>
      <w:pgSz w:w="11906" w:h="16838"/>
      <w:pgMar w:top="1440" w:right="1800"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0106836"/>
    </w:sdtPr>
    <w:sdtContent>
      <w:sdt>
        <w:sdtPr>
          <w:id w:val="1728636285"/>
        </w:sdtPr>
        <w:sdtContent>
          <w:p w14:paraId="0280E27C">
            <w:pPr>
              <w:pStyle w:val="7"/>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4E7D628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E4EEE"/>
    <w:multiLevelType w:val="multilevel"/>
    <w:tmpl w:val="185E4EEE"/>
    <w:lvl w:ilvl="0" w:tentative="0">
      <w:start w:val="1"/>
      <w:numFmt w:val="decimal"/>
      <w:pStyle w:val="4"/>
      <w:suff w:val="space"/>
      <w:lvlText w:val="%1"/>
      <w:lvlJc w:val="left"/>
      <w:pPr>
        <w:tabs>
          <w:tab w:val="left" w:pos="420"/>
        </w:tabs>
        <w:ind w:left="-643" w:hanging="432"/>
      </w:pPr>
      <w:rPr>
        <w:rFonts w:hint="default" w:ascii="黑体" w:hAnsi="黑体" w:eastAsia="黑体" w:cs="宋体"/>
        <w:sz w:val="32"/>
      </w:rPr>
    </w:lvl>
    <w:lvl w:ilvl="1" w:tentative="0">
      <w:start w:val="1"/>
      <w:numFmt w:val="decimal"/>
      <w:suff w:val="space"/>
      <w:lvlText w:val="%1.%2"/>
      <w:lvlJc w:val="left"/>
      <w:pPr>
        <w:tabs>
          <w:tab w:val="left" w:pos="420"/>
        </w:tabs>
        <w:ind w:left="575" w:hanging="575"/>
      </w:pPr>
      <w:rPr>
        <w:rFonts w:hint="default" w:ascii="黑体" w:hAnsi="黑体" w:eastAsia="黑体" w:cs="宋体"/>
        <w:sz w:val="30"/>
      </w:rPr>
    </w:lvl>
    <w:lvl w:ilvl="2" w:tentative="0">
      <w:start w:val="1"/>
      <w:numFmt w:val="decimal"/>
      <w:suff w:val="space"/>
      <w:lvlText w:val="%1.%2.%3"/>
      <w:lvlJc w:val="left"/>
      <w:pPr>
        <w:tabs>
          <w:tab w:val="left" w:pos="0"/>
        </w:tabs>
        <w:ind w:left="720" w:hanging="720"/>
      </w:pPr>
      <w:rPr>
        <w:rFonts w:hint="default" w:ascii="黑体" w:hAnsi="黑体" w:eastAsia="黑体" w:cs="宋体"/>
        <w:sz w:val="28"/>
      </w:rPr>
    </w:lvl>
    <w:lvl w:ilvl="3" w:tentative="0">
      <w:start w:val="1"/>
      <w:numFmt w:val="decimal"/>
      <w:suff w:val="space"/>
      <w:lvlText w:val="（%4）"/>
      <w:lvlJc w:val="left"/>
      <w:pPr>
        <w:tabs>
          <w:tab w:val="left" w:pos="420"/>
        </w:tabs>
        <w:ind w:left="864" w:hanging="864"/>
      </w:pPr>
      <w:rPr>
        <w:rFonts w:hint="default" w:ascii="Times New Roman" w:hAnsi="Times New Roman" w:eastAsia="宋体" w:cs="宋体"/>
        <w:b/>
        <w:sz w:val="24"/>
      </w:rPr>
    </w:lvl>
    <w:lvl w:ilvl="4" w:tentative="0">
      <w:start w:val="1"/>
      <w:numFmt w:val="decimal"/>
      <w:suff w:val="space"/>
      <w:lvlText w:val="%5）"/>
      <w:lvlJc w:val="left"/>
      <w:pPr>
        <w:tabs>
          <w:tab w:val="left" w:pos="0"/>
        </w:tabs>
        <w:ind w:left="1008" w:hanging="1008"/>
      </w:pPr>
      <w:rPr>
        <w:rFonts w:hint="default" w:ascii="Times New Roman" w:hAnsi="Times New Roman" w:eastAsia="宋体" w:cs="宋体"/>
        <w:b w:val="0"/>
        <w:sz w:val="24"/>
      </w:rPr>
    </w:lvl>
    <w:lvl w:ilvl="5" w:tentative="0">
      <w:start w:val="1"/>
      <w:numFmt w:val="decimalEnclosedCircleChinese"/>
      <w:suff w:val="space"/>
      <w:lvlText w:val="%6"/>
      <w:lvlJc w:val="left"/>
      <w:pPr>
        <w:tabs>
          <w:tab w:val="left" w:pos="0"/>
        </w:tabs>
        <w:ind w:left="1151" w:hanging="1151"/>
      </w:pPr>
      <w:rPr>
        <w:rFonts w:hint="eastAsia" w:ascii="宋体" w:hAnsi="宋体" w:eastAsia="宋体" w:cs="宋体"/>
        <w:sz w:val="24"/>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JiOTZkYjQ2Nzc2NTFjOGI1M2E1M2ZlZGM2MGM3ZGUifQ=="/>
    <w:docVar w:name="KSO_WPS_MARK_KEY" w:val="93210919-9d30-4cc8-be99-ccc403d8efa2"/>
  </w:docVars>
  <w:rsids>
    <w:rsidRoot w:val="00C65E44"/>
    <w:rsid w:val="00003A95"/>
    <w:rsid w:val="00031971"/>
    <w:rsid w:val="0004157A"/>
    <w:rsid w:val="00043790"/>
    <w:rsid w:val="0006204D"/>
    <w:rsid w:val="000D7137"/>
    <w:rsid w:val="000E34C3"/>
    <w:rsid w:val="00131224"/>
    <w:rsid w:val="00162CFB"/>
    <w:rsid w:val="0017797A"/>
    <w:rsid w:val="001C3E09"/>
    <w:rsid w:val="001F4AF4"/>
    <w:rsid w:val="002B0F62"/>
    <w:rsid w:val="003416B7"/>
    <w:rsid w:val="00412A44"/>
    <w:rsid w:val="004465B2"/>
    <w:rsid w:val="004B7993"/>
    <w:rsid w:val="005265B1"/>
    <w:rsid w:val="00585062"/>
    <w:rsid w:val="0058570F"/>
    <w:rsid w:val="005940DC"/>
    <w:rsid w:val="005B6D49"/>
    <w:rsid w:val="0063227A"/>
    <w:rsid w:val="00632680"/>
    <w:rsid w:val="00652335"/>
    <w:rsid w:val="006C607E"/>
    <w:rsid w:val="006F7A88"/>
    <w:rsid w:val="00727545"/>
    <w:rsid w:val="00761FC7"/>
    <w:rsid w:val="007629DD"/>
    <w:rsid w:val="00784E48"/>
    <w:rsid w:val="007B542C"/>
    <w:rsid w:val="00851A43"/>
    <w:rsid w:val="00892D70"/>
    <w:rsid w:val="00895A6C"/>
    <w:rsid w:val="008F1AAD"/>
    <w:rsid w:val="00931DF7"/>
    <w:rsid w:val="009E16DF"/>
    <w:rsid w:val="00A66A8C"/>
    <w:rsid w:val="00B17995"/>
    <w:rsid w:val="00B7583B"/>
    <w:rsid w:val="00BB1990"/>
    <w:rsid w:val="00C1620C"/>
    <w:rsid w:val="00C65E44"/>
    <w:rsid w:val="00CF311F"/>
    <w:rsid w:val="00D1155A"/>
    <w:rsid w:val="00D8734E"/>
    <w:rsid w:val="00DB0A9D"/>
    <w:rsid w:val="00DF0C80"/>
    <w:rsid w:val="00E01F19"/>
    <w:rsid w:val="00E314A7"/>
    <w:rsid w:val="00E87AE6"/>
    <w:rsid w:val="00F85075"/>
    <w:rsid w:val="00F93B6F"/>
    <w:rsid w:val="02123AD6"/>
    <w:rsid w:val="022C0730"/>
    <w:rsid w:val="0CA85DF2"/>
    <w:rsid w:val="0E1418AD"/>
    <w:rsid w:val="13A740BB"/>
    <w:rsid w:val="13B60AEE"/>
    <w:rsid w:val="1DB91893"/>
    <w:rsid w:val="1E9F3AEB"/>
    <w:rsid w:val="1FA976C2"/>
    <w:rsid w:val="22584CFE"/>
    <w:rsid w:val="280850E3"/>
    <w:rsid w:val="325F7DF7"/>
    <w:rsid w:val="342A71FD"/>
    <w:rsid w:val="36D35EAB"/>
    <w:rsid w:val="3FEA3942"/>
    <w:rsid w:val="42F502FB"/>
    <w:rsid w:val="49C10D2B"/>
    <w:rsid w:val="4DF07E31"/>
    <w:rsid w:val="56B05417"/>
    <w:rsid w:val="5E1A3A26"/>
    <w:rsid w:val="6052306E"/>
    <w:rsid w:val="61045C75"/>
    <w:rsid w:val="64CA553F"/>
    <w:rsid w:val="65FB7383"/>
    <w:rsid w:val="67DA14DE"/>
    <w:rsid w:val="692D1AE1"/>
    <w:rsid w:val="6CDF7672"/>
    <w:rsid w:val="6D325918"/>
    <w:rsid w:val="6FD601DD"/>
    <w:rsid w:val="76A34845"/>
    <w:rsid w:val="76E77696"/>
    <w:rsid w:val="7CE472F5"/>
    <w:rsid w:val="7DEF29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widowControl/>
      <w:numPr>
        <w:ilvl w:val="0"/>
        <w:numId w:val="1"/>
      </w:numPr>
      <w:tabs>
        <w:tab w:val="left" w:pos="432"/>
        <w:tab w:val="clear" w:pos="420"/>
      </w:tabs>
      <w:spacing w:before="100" w:beforeLines="100" w:after="100" w:afterLines="100"/>
      <w:ind w:left="432" w:hanging="432" w:firstLineChars="0"/>
      <w:jc w:val="both"/>
      <w:outlineLvl w:val="0"/>
    </w:pPr>
    <w:rPr>
      <w:rFonts w:ascii="黑体" w:hAnsi="黑体" w:eastAsia="黑体" w:cs="仿宋"/>
      <w:b/>
      <w:kern w:val="0"/>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firstLineChars="100"/>
    </w:pPr>
    <w:rPr>
      <w:rFonts w:eastAsia="宋体"/>
      <w:sz w:val="24"/>
    </w:rPr>
  </w:style>
  <w:style w:type="paragraph" w:styleId="3">
    <w:name w:val="Body Text"/>
    <w:basedOn w:val="1"/>
    <w:next w:val="2"/>
    <w:qFormat/>
    <w:uiPriority w:val="0"/>
    <w:pPr>
      <w:jc w:val="center"/>
    </w:pPr>
  </w:style>
  <w:style w:type="paragraph" w:styleId="5">
    <w:name w:val="annotation text"/>
    <w:basedOn w:val="1"/>
    <w:link w:val="16"/>
    <w:semiHidden/>
    <w:unhideWhenUsed/>
    <w:qFormat/>
    <w:uiPriority w:val="99"/>
    <w:pPr>
      <w:jc w:val="left"/>
    </w:p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7"/>
    <w:semiHidden/>
    <w:unhideWhenUsed/>
    <w:qFormat/>
    <w:uiPriority w:val="99"/>
    <w:rPr>
      <w:b/>
      <w:bCs/>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批注文字 字符"/>
    <w:basedOn w:val="12"/>
    <w:link w:val="5"/>
    <w:semiHidden/>
    <w:qFormat/>
    <w:uiPriority w:val="99"/>
  </w:style>
  <w:style w:type="character" w:customStyle="1" w:styleId="17">
    <w:name w:val="批注主题 字符"/>
    <w:basedOn w:val="16"/>
    <w:link w:val="9"/>
    <w:semiHidden/>
    <w:qFormat/>
    <w:uiPriority w:val="99"/>
    <w:rPr>
      <w:b/>
      <w:bCs/>
    </w:rPr>
  </w:style>
  <w:style w:type="character" w:customStyle="1" w:styleId="18">
    <w:name w:val="批注框文本 字符"/>
    <w:basedOn w:val="12"/>
    <w:link w:val="6"/>
    <w:semiHidden/>
    <w:qFormat/>
    <w:uiPriority w:val="99"/>
    <w:rPr>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2110</Words>
  <Characters>2122</Characters>
  <Lines>6</Lines>
  <Paragraphs>1</Paragraphs>
  <TotalTime>0</TotalTime>
  <ScaleCrop>false</ScaleCrop>
  <LinksUpToDate>false</LinksUpToDate>
  <CharactersWithSpaces>2126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2022-09-08T01:32:00Z</dcterms:created>
  <dc:creator>123</dc:creator>
  <cp:lastModifiedBy>孟伶俊</cp:lastModifiedBy>
  <cp:lastPrinted>2023-06-06T10:29:00Z</cp:lastPrinted>
  <dcterms:modified xsi:type="dcterms:W3CDTF">2025-03-13T08:20:32Z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ECDB40DA45B84910BE42A67C7FC6046D</vt:lpwstr>
  </property>
  <property fmtid="{D5CDD505-2E9C-101B-9397-08002B2CF9AE}" pid="4" name="KSOTemplateDocerSaveRecord">
    <vt:lpwstr>eyJoZGlkIjoiMzU1NDExYjZhN2I2NjM1MGU3OTY1OTUyYTRmNjU3NTMiLCJ1c2VySWQiOiI0MjE4NTY3MjkifQ==</vt:lpwstr>
  </property>
</Properties>
</file>