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7791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7175"/>
      </w:tblGrid>
      <w:tr w14:paraId="03EBDE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7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2FE4A7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lang w:bidi="ar"/>
              </w:rPr>
              <w:t>医院端系统对接功能需求清单</w:t>
            </w:r>
          </w:p>
        </w:tc>
      </w:tr>
      <w:tr w14:paraId="54D786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3CBE42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7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7F46D1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对接内容</w:t>
            </w:r>
          </w:p>
        </w:tc>
      </w:tr>
      <w:tr w14:paraId="587DEE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92B43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717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CB8B7">
            <w:pPr>
              <w:widowControl/>
              <w:jc w:val="left"/>
              <w:textAlignment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  <w:t>基础信息、机构信息、科室信息、用户信息、术语信息、患者基本信息接口对接</w:t>
            </w:r>
          </w:p>
        </w:tc>
      </w:tr>
      <w:tr w14:paraId="6EF120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5A6FC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7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6A679">
            <w:pPr>
              <w:widowControl/>
              <w:jc w:val="left"/>
              <w:textAlignment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  <w:t>科室信息查询、医疗机构科室映射信息接口对接</w:t>
            </w:r>
          </w:p>
        </w:tc>
      </w:tr>
      <w:tr w14:paraId="7026CF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70F37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7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36BCF">
            <w:pPr>
              <w:widowControl/>
              <w:jc w:val="left"/>
              <w:textAlignment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  <w:t>医疗服务接口对接</w:t>
            </w:r>
          </w:p>
        </w:tc>
      </w:tr>
      <w:tr w14:paraId="750F6E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AE72A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7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09C64">
            <w:pPr>
              <w:widowControl/>
              <w:jc w:val="left"/>
              <w:textAlignment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  <w:t>门诊患者就诊登记、门诊挂号、门诊退号接口对接</w:t>
            </w:r>
          </w:p>
        </w:tc>
      </w:tr>
      <w:tr w14:paraId="6F1523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4F86C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7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1A145">
            <w:pPr>
              <w:widowControl/>
              <w:jc w:val="left"/>
              <w:textAlignment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  <w:t>门急诊病历、门诊诊断-西医、门诊诊断-中医、急诊留观病历接口对接</w:t>
            </w:r>
          </w:p>
        </w:tc>
      </w:tr>
      <w:tr w14:paraId="5B257F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86324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7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1CC9F">
            <w:pPr>
              <w:widowControl/>
              <w:jc w:val="left"/>
              <w:textAlignment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  <w:t>门诊处方-西药处方、 门诊处方-中药处方接口对接</w:t>
            </w:r>
          </w:p>
        </w:tc>
      </w:tr>
      <w:tr w14:paraId="437AA3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23987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7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2BEDF">
            <w:pPr>
              <w:widowControl/>
              <w:jc w:val="left"/>
              <w:textAlignment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  <w:t>检查申请、检查报告、检验申请、检验报告、细菌培养报告接口对接</w:t>
            </w:r>
          </w:p>
        </w:tc>
      </w:tr>
      <w:tr w14:paraId="1940B6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80187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7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E57CE">
            <w:pPr>
              <w:widowControl/>
              <w:jc w:val="left"/>
              <w:textAlignment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  <w:t>治疗处置-手术及操作记录、治疗记录、用药记录、输血记录、麻醉记录、生命体征、术前访视、术后访视接口对接</w:t>
            </w:r>
          </w:p>
        </w:tc>
      </w:tr>
      <w:tr w14:paraId="78207F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278EF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7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B11BA">
            <w:pPr>
              <w:widowControl/>
              <w:jc w:val="left"/>
              <w:textAlignment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  <w:t>知情告知-其他知情同意书、手术同意书、特殊检查特殊治疗同意书、病危(重)通知书、麻醉知情同意书接口对接</w:t>
            </w:r>
          </w:p>
        </w:tc>
      </w:tr>
      <w:tr w14:paraId="6C0008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BB749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7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6C5EC">
            <w:pPr>
              <w:widowControl/>
              <w:jc w:val="left"/>
              <w:textAlignment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  <w:t>住院病案首页、西医诊断、中医诊断、入院记录、入院登记、入院记录-西医诊断、入院记录-中医诊断、24H内入出院记录、死亡西医诊断、死亡中医诊断、病程记录、上级医师查房记录、交接班记录、会诊记录、出院记录、抢救记录、日常病程记录、术前小结、术前讨论、术后首次病程记录、死亡病例讨论记录、死亡记录、疑难病例讨论、转科记录、阶段小结、首次病程记录接口对接</w:t>
            </w:r>
          </w:p>
        </w:tc>
      </w:tr>
      <w:tr w14:paraId="2649AE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3198D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  <w:t>11</w:t>
            </w:r>
          </w:p>
        </w:tc>
        <w:tc>
          <w:tcPr>
            <w:tcW w:w="7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5DF92">
            <w:pPr>
              <w:widowControl/>
              <w:jc w:val="left"/>
              <w:textAlignment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  <w:t>住院医嘱、出院小结、出院记录-西医诊断、出院记录-中医诊断接口对接</w:t>
            </w:r>
          </w:p>
        </w:tc>
      </w:tr>
      <w:tr w14:paraId="166B1C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0B49C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7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09A0A">
            <w:pPr>
              <w:widowControl/>
              <w:jc w:val="left"/>
              <w:textAlignment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  <w:t>转诊信息、转科记录接口对接</w:t>
            </w:r>
          </w:p>
        </w:tc>
      </w:tr>
      <w:tr w14:paraId="43F2D6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48D7C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  <w:t>13</w:t>
            </w:r>
          </w:p>
        </w:tc>
        <w:tc>
          <w:tcPr>
            <w:tcW w:w="7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A7B94">
            <w:pPr>
              <w:widowControl/>
              <w:jc w:val="left"/>
              <w:textAlignment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  <w:t>门诊收费结算、取消结算、结算查询、住院收费结算、住院收费取消结算、住院收费结算查询、医院业务量日报、医院业务收入日报、体检收入日报接口对接</w:t>
            </w:r>
          </w:p>
        </w:tc>
      </w:tr>
      <w:tr w14:paraId="17CC3D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755A8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  <w:t>14</w:t>
            </w:r>
          </w:p>
        </w:tc>
        <w:tc>
          <w:tcPr>
            <w:tcW w:w="7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EF95A">
            <w:pPr>
              <w:widowControl/>
              <w:jc w:val="left"/>
              <w:textAlignment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  <w:t>体检信息、科室检查信息接口对接</w:t>
            </w:r>
          </w:p>
        </w:tc>
      </w:tr>
      <w:tr w14:paraId="35AE27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7443A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7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E3383">
            <w:pPr>
              <w:widowControl/>
              <w:jc w:val="left"/>
              <w:textAlignment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  <w:t>康复治疗-科室字典信息、病区字典信息、医嘱字典信息、收费项目字典信息、病种ICD-10字典信息、中医TCD-10字典信息、频次信息、用户信息接口对接</w:t>
            </w:r>
          </w:p>
        </w:tc>
      </w:tr>
      <w:tr w14:paraId="481829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F2FD2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  <w:t>16</w:t>
            </w:r>
          </w:p>
        </w:tc>
        <w:tc>
          <w:tcPr>
            <w:tcW w:w="7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82699">
            <w:pPr>
              <w:widowControl/>
              <w:jc w:val="left"/>
              <w:textAlignment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  <w:t>HIS康复治疗收费-仅治疗类医嘱接口对接</w:t>
            </w:r>
          </w:p>
        </w:tc>
      </w:tr>
      <w:tr w14:paraId="21CBEF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11A18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  <w:t>17</w:t>
            </w:r>
          </w:p>
        </w:tc>
        <w:tc>
          <w:tcPr>
            <w:tcW w:w="7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D0D14">
            <w:pPr>
              <w:widowControl/>
              <w:jc w:val="left"/>
              <w:textAlignment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  <w:t>HIS接收康复治疗建议医嘱-仅治疗类医嘱接口对接</w:t>
            </w:r>
          </w:p>
        </w:tc>
      </w:tr>
      <w:tr w14:paraId="39A259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33255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  <w:t>18</w:t>
            </w:r>
          </w:p>
        </w:tc>
        <w:tc>
          <w:tcPr>
            <w:tcW w:w="7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46E5B">
            <w:pPr>
              <w:widowControl/>
              <w:jc w:val="left"/>
              <w:textAlignment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  <w:t>HIS调阅康复病程总览接口对接</w:t>
            </w:r>
          </w:p>
        </w:tc>
      </w:tr>
      <w:tr w14:paraId="759644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90AA3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  <w:t>19</w:t>
            </w:r>
          </w:p>
        </w:tc>
        <w:tc>
          <w:tcPr>
            <w:tcW w:w="71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0B350">
            <w:pPr>
              <w:widowControl/>
              <w:jc w:val="left"/>
              <w:textAlignment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  <w:t>微信公众号-康复治疗微服务接口对接</w:t>
            </w:r>
          </w:p>
        </w:tc>
      </w:tr>
      <w:tr w14:paraId="61A980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8C71F5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7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C02C47">
            <w:pPr>
              <w:widowControl/>
              <w:jc w:val="left"/>
              <w:textAlignment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  <w:t>治未病信息交互接口对接</w:t>
            </w:r>
          </w:p>
        </w:tc>
      </w:tr>
      <w:tr w14:paraId="4C9265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344A05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  <w:t>21</w:t>
            </w:r>
          </w:p>
        </w:tc>
        <w:tc>
          <w:tcPr>
            <w:tcW w:w="7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C89E4C">
            <w:pPr>
              <w:widowControl/>
              <w:textAlignment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  <w:t>非结构化病历接口接口对接</w:t>
            </w:r>
          </w:p>
        </w:tc>
      </w:tr>
    </w:tbl>
    <w:p w14:paraId="036B1C64"/>
    <w:p w14:paraId="012F8284">
      <w:pPr>
        <w:widowControl/>
        <w:numPr>
          <w:ilvl w:val="0"/>
          <w:numId w:val="1"/>
        </w:numPr>
        <w:spacing w:line="360" w:lineRule="auto"/>
        <w:ind w:firstLine="0"/>
        <w:rPr>
          <w:rFonts w:ascii="宋体" w:hAnsi="宋体" w:cs="宋体"/>
          <w:b/>
          <w:szCs w:val="21"/>
        </w:rPr>
      </w:pPr>
      <w:r>
        <w:rPr>
          <w:rFonts w:hint="eastAsia" w:ascii="Times New Roman" w:hAnsi="Times New Roman" w:eastAsia="宋体" w:cs="Times New Roman"/>
          <w:b/>
          <w:bCs/>
          <w:szCs w:val="21"/>
        </w:rPr>
        <w:t>商务要求</w:t>
      </w:r>
      <w:r>
        <w:rPr>
          <w:rFonts w:hint="eastAsia" w:ascii="宋体" w:hAnsi="宋体" w:cs="宋体"/>
          <w:b/>
          <w:szCs w:val="21"/>
        </w:rPr>
        <w:tab/>
      </w:r>
      <w:r>
        <w:rPr>
          <w:rFonts w:hint="eastAsia" w:ascii="宋体" w:hAnsi="宋体" w:cs="宋体"/>
          <w:b/>
          <w:szCs w:val="21"/>
        </w:rPr>
        <w:tab/>
      </w:r>
      <w:r>
        <w:rPr>
          <w:rFonts w:hint="eastAsia" w:ascii="宋体" w:hAnsi="宋体" w:cs="宋体"/>
          <w:b/>
          <w:szCs w:val="21"/>
        </w:rPr>
        <w:tab/>
      </w:r>
      <w:r>
        <w:rPr>
          <w:rFonts w:hint="eastAsia" w:ascii="宋体" w:hAnsi="宋体" w:cs="宋体"/>
          <w:b/>
          <w:szCs w:val="21"/>
        </w:rPr>
        <w:tab/>
      </w:r>
      <w:r>
        <w:rPr>
          <w:rFonts w:hint="eastAsia" w:ascii="宋体" w:hAnsi="宋体" w:cs="宋体"/>
          <w:b/>
          <w:szCs w:val="21"/>
        </w:rPr>
        <w:tab/>
      </w:r>
    </w:p>
    <w:p w14:paraId="56ECE3DD">
      <w:pPr>
        <w:widowControl/>
        <w:spacing w:line="360" w:lineRule="auto"/>
        <w:jc w:val="left"/>
        <w:rPr>
          <w:rFonts w:ascii="宋体" w:hAnsi="宋体" w:eastAsia="宋体" w:cs="宋体"/>
          <w:szCs w:val="21"/>
        </w:rPr>
      </w:pPr>
      <w:r>
        <w:rPr>
          <w:rFonts w:ascii="宋体" w:hAnsi="宋体" w:eastAsia="宋体" w:cs="宋体"/>
          <w:szCs w:val="21"/>
        </w:rPr>
        <w:t>1.</w:t>
      </w:r>
      <w:r>
        <w:rPr>
          <w:rFonts w:hint="eastAsia" w:ascii="宋体" w:hAnsi="宋体" w:eastAsia="宋体" w:cs="宋体"/>
          <w:szCs w:val="21"/>
        </w:rPr>
        <w:t>交付使用时间：</w:t>
      </w:r>
      <w:r>
        <w:rPr>
          <w:rFonts w:hint="eastAsia" w:ascii="宋体" w:hAnsi="宋体" w:cs="宋体"/>
          <w:szCs w:val="21"/>
        </w:rPr>
        <w:t>自签订合同之日起，</w:t>
      </w:r>
      <w:r>
        <w:rPr>
          <w:rFonts w:hint="eastAsia" w:ascii="宋体" w:hAnsi="宋体" w:cs="宋体"/>
          <w:szCs w:val="21"/>
          <w:highlight w:val="yellow"/>
        </w:rPr>
        <w:t>六个月</w:t>
      </w:r>
      <w:r>
        <w:rPr>
          <w:rFonts w:hint="eastAsia" w:ascii="宋体" w:hAnsi="宋体" w:cs="宋体"/>
          <w:szCs w:val="21"/>
        </w:rPr>
        <w:t>内完成项目实施的整体管理、交付采购人使用</w:t>
      </w:r>
      <w:r>
        <w:rPr>
          <w:rFonts w:hint="eastAsia" w:ascii="宋体" w:hAnsi="宋体" w:eastAsia="宋体" w:cs="宋体"/>
          <w:szCs w:val="21"/>
        </w:rPr>
        <w:t>。</w:t>
      </w:r>
    </w:p>
    <w:p w14:paraId="2DB4A32D">
      <w:pPr>
        <w:widowControl/>
        <w:spacing w:line="360" w:lineRule="auto"/>
        <w:jc w:val="left"/>
        <w:rPr>
          <w:rFonts w:ascii="宋体" w:hAnsi="宋体" w:eastAsia="宋体" w:cs="宋体"/>
          <w:szCs w:val="21"/>
        </w:rPr>
      </w:pPr>
      <w:r>
        <w:rPr>
          <w:rFonts w:hint="eastAsia" w:ascii="宋体" w:hAnsi="宋体" w:cs="宋体"/>
          <w:szCs w:val="21"/>
        </w:rPr>
        <w:t>2</w:t>
      </w:r>
      <w:r>
        <w:rPr>
          <w:rFonts w:hint="eastAsia" w:ascii="宋体" w:hAnsi="宋体" w:eastAsia="宋体" w:cs="宋体"/>
          <w:szCs w:val="21"/>
        </w:rPr>
        <w:t>.</w:t>
      </w:r>
      <w:r>
        <w:rPr>
          <w:rFonts w:hint="eastAsia" w:ascii="宋体" w:hAnsi="宋体" w:cs="宋体"/>
          <w:szCs w:val="21"/>
        </w:rPr>
        <w:t>交付</w:t>
      </w:r>
      <w:r>
        <w:rPr>
          <w:rFonts w:hint="eastAsia" w:ascii="宋体" w:hAnsi="宋体" w:eastAsia="宋体" w:cs="宋体"/>
          <w:szCs w:val="21"/>
        </w:rPr>
        <w:t>地点：中山市坦洲人民医院</w:t>
      </w:r>
    </w:p>
    <w:p w14:paraId="1D50947C">
      <w:pPr>
        <w:widowControl/>
        <w:spacing w:line="360" w:lineRule="auto"/>
        <w:jc w:val="left"/>
        <w:rPr>
          <w:rFonts w:ascii="宋体" w:hAnsi="宋体" w:eastAsia="宋体" w:cs="宋体"/>
          <w:szCs w:val="21"/>
        </w:rPr>
      </w:pPr>
      <w:r>
        <w:rPr>
          <w:rFonts w:hint="eastAsia" w:ascii="宋体" w:hAnsi="宋体" w:cs="宋体"/>
          <w:szCs w:val="21"/>
        </w:rPr>
        <w:t>3</w:t>
      </w:r>
      <w:r>
        <w:rPr>
          <w:rFonts w:hint="eastAsia" w:ascii="宋体" w:hAnsi="宋体" w:eastAsia="宋体" w:cs="宋体"/>
          <w:szCs w:val="21"/>
        </w:rPr>
        <w:t>.付款方式：</w:t>
      </w:r>
    </w:p>
    <w:p w14:paraId="68AD0397">
      <w:pPr>
        <w:widowControl/>
        <w:spacing w:line="360" w:lineRule="auto"/>
        <w:jc w:val="left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（1）收到中标供应商等额有效发票，</w:t>
      </w:r>
      <w:r>
        <w:rPr>
          <w:rFonts w:hint="eastAsia" w:ascii="宋体" w:hAnsi="宋体" w:eastAsia="宋体" w:cs="宋体"/>
          <w:szCs w:val="21"/>
          <w:highlight w:val="yellow"/>
        </w:rPr>
        <w:t>60日</w:t>
      </w:r>
      <w:r>
        <w:rPr>
          <w:rFonts w:hint="eastAsia" w:ascii="宋体" w:hAnsi="宋体" w:eastAsia="宋体" w:cs="宋体"/>
          <w:szCs w:val="21"/>
        </w:rPr>
        <w:t>内支付项目合同总额的50%；</w:t>
      </w:r>
    </w:p>
    <w:p w14:paraId="456791C8">
      <w:pPr>
        <w:widowControl/>
        <w:spacing w:line="360" w:lineRule="auto"/>
        <w:jc w:val="left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（2）根据项目验收要求完成验收后，经双方签字确认《系统验收报告》，收到中标供应商等额有效发票后，60日内支付项目合同总额的50%。</w:t>
      </w:r>
    </w:p>
    <w:p w14:paraId="1135558F">
      <w:pPr>
        <w:widowControl/>
        <w:spacing w:line="360" w:lineRule="auto"/>
        <w:jc w:val="left"/>
        <w:rPr>
          <w:rFonts w:ascii="宋体" w:hAnsi="宋体" w:eastAsia="宋体" w:cs="宋体"/>
          <w:szCs w:val="21"/>
        </w:rPr>
      </w:pPr>
      <w:r>
        <w:rPr>
          <w:rFonts w:hint="eastAsia" w:ascii="宋体" w:hAnsi="宋体" w:cs="宋体"/>
          <w:szCs w:val="21"/>
        </w:rPr>
        <w:t>（3）</w:t>
      </w:r>
      <w:r>
        <w:rPr>
          <w:rFonts w:hint="eastAsia" w:ascii="宋体" w:hAnsi="宋体" w:eastAsia="宋体" w:cs="宋体"/>
          <w:szCs w:val="21"/>
        </w:rPr>
        <w:t>如项目发生合同融资，采购人应当将合同款项支付到合同约定收款账户。</w:t>
      </w:r>
    </w:p>
    <w:p w14:paraId="7E9C9C3F">
      <w:pPr>
        <w:widowControl/>
        <w:spacing w:line="360" w:lineRule="auto"/>
        <w:jc w:val="left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4.验收要求：</w:t>
      </w:r>
    </w:p>
    <w:p w14:paraId="216823BD">
      <w:pPr>
        <w:widowControl/>
        <w:spacing w:line="360" w:lineRule="auto"/>
        <w:jc w:val="left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（1）验收方式：由采购人组织的项目验收小组进行验收。</w:t>
      </w:r>
    </w:p>
    <w:p w14:paraId="31B982A5">
      <w:pPr>
        <w:widowControl/>
        <w:spacing w:line="360" w:lineRule="auto"/>
        <w:jc w:val="left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（2）验收标准：符合国家及行业强制标准，招标文件要求、投标文件承诺、合同。</w:t>
      </w:r>
    </w:p>
    <w:p w14:paraId="332191F7">
      <w:pPr>
        <w:widowControl/>
        <w:spacing w:line="360" w:lineRule="auto"/>
        <w:jc w:val="left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（3）验收程序、验收时间、验收内容：1）中标供应商完成招标文件的功能需求清单对接内容，中标供应商提供《系统上线方案》采购人审核同意后方可启动系统上线流程。系统上线并稳定运行一个月后中标供应商编制《系统上线报告》交由采购人确认完成上线流程；2）在接口对接、调试完毕，完成上线流程并稳定运行三个月后，可向采购人提交书面验收申请，采购人经确认中标供应商已完成合同内容后，采购人和中标供应商双方共同组织、按照招标文件、投标文件、合同、相关承诺和相关补充文件的内容进行验收，由中标供应商出具《系统验收报告》。如达不到验收要求确需整改的，中标供应商应根据功能需求清单对接内容继续修改，直至达到验收条件后双方共同组织验收。</w:t>
      </w:r>
    </w:p>
    <w:p w14:paraId="4D150E16">
      <w:pPr>
        <w:widowControl/>
        <w:spacing w:line="360" w:lineRule="auto"/>
        <w:jc w:val="left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5.报价要求：</w:t>
      </w:r>
    </w:p>
    <w:p w14:paraId="2CDA57BE">
      <w:pPr>
        <w:widowControl/>
        <w:spacing w:line="360" w:lineRule="auto"/>
        <w:jc w:val="left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（1）报价应为人民币含税全包价，投标价格为固定价格，包括但不限于以下费用：1）完整的技术文件、开发测试、安装调试、技术服务费用等相关费用；2）软件永久使用权；3）合同维保期内的服务费用；4）系统培训、验收、售后服务所需的费用及相关服务等一切费用。</w:t>
      </w:r>
    </w:p>
    <w:p w14:paraId="7EBF585B">
      <w:pPr>
        <w:widowControl/>
        <w:spacing w:line="360" w:lineRule="auto"/>
        <w:jc w:val="left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6.质量需求：</w:t>
      </w:r>
    </w:p>
    <w:p w14:paraId="214ACAA0">
      <w:pPr>
        <w:widowControl/>
        <w:spacing w:line="360" w:lineRule="auto"/>
        <w:jc w:val="left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（1）质量达到国家验收合格标准。</w:t>
      </w:r>
    </w:p>
    <w:p w14:paraId="47C4B65F">
      <w:pPr>
        <w:widowControl/>
        <w:spacing w:line="360" w:lineRule="auto"/>
        <w:jc w:val="left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（</w:t>
      </w:r>
      <w:r>
        <w:rPr>
          <w:rFonts w:hint="eastAsia" w:ascii="宋体" w:hAnsi="宋体" w:cs="宋体"/>
          <w:szCs w:val="21"/>
        </w:rPr>
        <w:t>2</w:t>
      </w:r>
      <w:r>
        <w:rPr>
          <w:rFonts w:hint="eastAsia" w:ascii="宋体" w:hAnsi="宋体" w:eastAsia="宋体" w:cs="宋体"/>
          <w:szCs w:val="21"/>
        </w:rPr>
        <w:t>）供应商所提供的服务、技术参数等质量必须与响应文件和承诺相一致。</w:t>
      </w:r>
    </w:p>
    <w:p w14:paraId="76D57107">
      <w:pPr>
        <w:widowControl/>
        <w:spacing w:line="360" w:lineRule="auto"/>
        <w:jc w:val="left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  <w:lang w:val="en-US" w:eastAsia="zh-CN"/>
        </w:rPr>
        <w:t>7</w:t>
      </w:r>
      <w:r>
        <w:rPr>
          <w:rFonts w:hint="eastAsia" w:ascii="宋体" w:hAnsi="宋体" w:eastAsia="宋体" w:cs="宋体"/>
          <w:szCs w:val="21"/>
        </w:rPr>
        <w:t>.保密需求：中标供应商应遵守《国家保密法》，严格执行保密制度，不得向第三方泄露其在提供服务期间获得采购人的技术、商业机密，否则须承担因此产生的全部责任。</w:t>
      </w:r>
    </w:p>
    <w:p w14:paraId="54F7DB23">
      <w:pPr>
        <w:widowControl/>
        <w:spacing w:line="360" w:lineRule="auto"/>
        <w:jc w:val="left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  <w:lang w:val="en-US" w:eastAsia="zh-CN"/>
        </w:rPr>
        <w:t>8</w:t>
      </w:r>
      <w:bookmarkStart w:id="0" w:name="_GoBack"/>
      <w:bookmarkEnd w:id="0"/>
      <w:r>
        <w:rPr>
          <w:rFonts w:hint="eastAsia" w:ascii="宋体" w:hAnsi="宋体" w:eastAsia="宋体" w:cs="宋体"/>
          <w:szCs w:val="21"/>
        </w:rPr>
        <w:t>.保修期及售后服务要求：</w:t>
      </w:r>
    </w:p>
    <w:p w14:paraId="2BBABC68">
      <w:pPr>
        <w:widowControl/>
        <w:spacing w:line="360" w:lineRule="auto"/>
        <w:jc w:val="left"/>
        <w:rPr>
          <w:rFonts w:ascii="宋体" w:hAnsi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（1）免费维保期</w:t>
      </w:r>
      <w:r>
        <w:rPr>
          <w:rFonts w:hint="eastAsia" w:ascii="宋体" w:hAnsi="宋体" w:eastAsia="宋体" w:cs="宋体"/>
          <w:szCs w:val="21"/>
          <w:highlight w:val="yellow"/>
        </w:rPr>
        <w:t>1年</w:t>
      </w:r>
      <w:r>
        <w:rPr>
          <w:rFonts w:hint="eastAsia" w:ascii="宋体" w:hAnsi="宋体" w:eastAsia="宋体" w:cs="宋体"/>
          <w:szCs w:val="21"/>
        </w:rPr>
        <w:t>，维保期结束后维保费用不超合同总价7%</w:t>
      </w:r>
      <w:r>
        <w:rPr>
          <w:rFonts w:hint="eastAsia" w:ascii="宋体" w:hAnsi="宋体" w:cs="宋体"/>
          <w:szCs w:val="21"/>
        </w:rPr>
        <w:t>，具体费用由双方友好协商</w:t>
      </w:r>
      <w:r>
        <w:rPr>
          <w:rFonts w:hint="eastAsia" w:ascii="宋体" w:hAnsi="宋体" w:eastAsia="宋体" w:cs="宋体"/>
          <w:szCs w:val="21"/>
        </w:rPr>
        <w:t>。</w:t>
      </w:r>
    </w:p>
    <w:p w14:paraId="35DAB2A1">
      <w:pPr>
        <w:widowControl/>
        <w:spacing w:line="360" w:lineRule="auto"/>
        <w:jc w:val="left"/>
        <w:rPr>
          <w:rFonts w:ascii="宋体" w:hAnsi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（2）维保期从</w:t>
      </w:r>
      <w:r>
        <w:rPr>
          <w:rFonts w:hint="eastAsia" w:ascii="宋体" w:hAnsi="宋体" w:cs="宋体"/>
          <w:szCs w:val="21"/>
        </w:rPr>
        <w:t>接口</w:t>
      </w:r>
      <w:r>
        <w:rPr>
          <w:rFonts w:hint="eastAsia" w:ascii="宋体" w:hAnsi="宋体" w:eastAsia="宋体" w:cs="宋体"/>
          <w:szCs w:val="21"/>
        </w:rPr>
        <w:t>验收通过之日起计算，服务的相关费用包含在本次报价中，不得再向采购人收取费用。</w:t>
      </w:r>
    </w:p>
    <w:p w14:paraId="47443786">
      <w:pPr>
        <w:widowControl/>
        <w:spacing w:line="360" w:lineRule="auto"/>
        <w:jc w:val="left"/>
        <w:rPr>
          <w:rFonts w:ascii="宋体" w:hAnsi="宋体" w:eastAsia="宋体" w:cs="宋体"/>
          <w:szCs w:val="21"/>
        </w:rPr>
      </w:pPr>
    </w:p>
    <w:p w14:paraId="15D5FAC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6A2CD3E"/>
    <w:multiLevelType w:val="singleLevel"/>
    <w:tmpl w:val="E6A2CD3E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5D6"/>
    <w:rsid w:val="001E75D6"/>
    <w:rsid w:val="00AC7868"/>
    <w:rsid w:val="02EB239A"/>
    <w:rsid w:val="02F901BA"/>
    <w:rsid w:val="09556239"/>
    <w:rsid w:val="16D03928"/>
    <w:rsid w:val="393F535C"/>
    <w:rsid w:val="3D4C3459"/>
    <w:rsid w:val="447E3D9C"/>
    <w:rsid w:val="44BE10E7"/>
    <w:rsid w:val="592B3B4F"/>
    <w:rsid w:val="5CB50951"/>
    <w:rsid w:val="6A181FCD"/>
    <w:rsid w:val="7427113B"/>
    <w:rsid w:val="768E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1699</Words>
  <Characters>1744</Characters>
  <Lines>13</Lines>
  <Paragraphs>3</Paragraphs>
  <TotalTime>31</TotalTime>
  <ScaleCrop>false</ScaleCrop>
  <LinksUpToDate>false</LinksUpToDate>
  <CharactersWithSpaces>1750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zhout</dc:creator>
  <cp:lastModifiedBy>LY9527</cp:lastModifiedBy>
  <dcterms:modified xsi:type="dcterms:W3CDTF">2025-04-15T13:24:47Z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eyJoZGlkIjoiZGNmZGZhOGMwMzkwOGQwMGZlMGRmNjhmM2YxNjQxYjkiLCJ1c2VySWQiOiI4MTg1OTg5MjkifQ==</vt:lpwstr>
  </property>
  <property fmtid="{D5CDD505-2E9C-101B-9397-08002B2CF9AE}" pid="4" name="ICV">
    <vt:lpwstr>B0089DBB1475473797CCEBBEFEC98E31_13</vt:lpwstr>
  </property>
</Properties>
</file>