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eastAsia" w:ascii="Times New Roman" w:hAnsi="Times New Roman" w:eastAsia="仿宋_GB2312"/>
          <w:sz w:val="28"/>
          <w:szCs w:val="28"/>
        </w:rPr>
        <w:t>中山市坦洲人民医院（中山市中西医结合医院）HIS系统与中山市中医院“防治康”一体化管理系统对接服务项目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637601EC"/>
    <w:rsid w:val="6BFF13B5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385</Characters>
  <Lines>0</Lines>
  <Paragraphs>0</Paragraphs>
  <TotalTime>0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2025-03-27T03:59:20Z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