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3DA844">
      <w:pPr>
        <w:rPr>
          <w:rFonts w:hint="eastAsia" w:ascii="黑体" w:hAnsi="黑体" w:eastAsia="黑体" w:cs="黑体"/>
          <w:sz w:val="32"/>
          <w:szCs w:val="32"/>
        </w:rPr>
      </w:pPr>
      <w:r>
        <w:rPr>
          <w:rFonts w:hint="eastAsia" w:ascii="黑体" w:hAnsi="黑体" w:eastAsia="黑体" w:cs="黑体"/>
          <w:sz w:val="32"/>
          <w:szCs w:val="32"/>
        </w:rPr>
        <w:t>附件1</w:t>
      </w:r>
    </w:p>
    <w:tbl>
      <w:tblPr>
        <w:tblStyle w:val="7"/>
        <w:tblW w:w="10206" w:type="dxa"/>
        <w:tblInd w:w="250" w:type="dxa"/>
        <w:tblLayout w:type="autofit"/>
        <w:tblCellMar>
          <w:top w:w="0" w:type="dxa"/>
          <w:left w:w="108" w:type="dxa"/>
          <w:bottom w:w="0" w:type="dxa"/>
          <w:right w:w="108" w:type="dxa"/>
        </w:tblCellMar>
      </w:tblPr>
      <w:tblGrid>
        <w:gridCol w:w="2693"/>
        <w:gridCol w:w="7513"/>
      </w:tblGrid>
      <w:tr w14:paraId="34D9BD01">
        <w:tblPrEx>
          <w:tblCellMar>
            <w:top w:w="0" w:type="dxa"/>
            <w:left w:w="108" w:type="dxa"/>
            <w:bottom w:w="0" w:type="dxa"/>
            <w:right w:w="108" w:type="dxa"/>
          </w:tblCellMar>
        </w:tblPrEx>
        <w:trPr>
          <w:trHeight w:val="855" w:hRule="atLeast"/>
        </w:trPr>
        <w:tc>
          <w:tcPr>
            <w:tcW w:w="10206" w:type="dxa"/>
            <w:gridSpan w:val="2"/>
            <w:tcBorders>
              <w:top w:val="nil"/>
              <w:left w:val="nil"/>
              <w:bottom w:val="nil"/>
              <w:right w:val="nil"/>
            </w:tcBorders>
            <w:shd w:val="clear" w:color="auto" w:fill="auto"/>
            <w:vAlign w:val="center"/>
          </w:tcPr>
          <w:p w14:paraId="4F1B6EE0">
            <w:pPr>
              <w:widowControl/>
              <w:jc w:val="center"/>
              <w:rPr>
                <w:rFonts w:ascii="等线" w:hAnsi="等线" w:eastAsia="等线" w:cs="宋体"/>
                <w:color w:val="000000"/>
                <w:kern w:val="0"/>
                <w:sz w:val="36"/>
                <w:szCs w:val="36"/>
              </w:rPr>
            </w:pPr>
            <w:r>
              <w:rPr>
                <w:rFonts w:hint="eastAsia" w:ascii="宋体" w:hAnsi="宋体" w:eastAsia="宋体" w:cs="宋体"/>
                <w:color w:val="000000"/>
                <w:kern w:val="0"/>
                <w:sz w:val="36"/>
                <w:szCs w:val="36"/>
                <w:lang w:val="en-US" w:eastAsia="zh-CN"/>
              </w:rPr>
              <w:t>大孔径CT维保服务项目</w:t>
            </w:r>
            <w:r>
              <w:rPr>
                <w:rFonts w:hint="eastAsia" w:ascii="宋体" w:hAnsi="宋体" w:eastAsia="宋体" w:cs="宋体"/>
                <w:color w:val="000000"/>
                <w:kern w:val="0"/>
                <w:sz w:val="36"/>
                <w:szCs w:val="36"/>
              </w:rPr>
              <w:t>采购需求</w:t>
            </w:r>
          </w:p>
        </w:tc>
      </w:tr>
      <w:tr w14:paraId="2DC3E5A1">
        <w:tblPrEx>
          <w:tblCellMar>
            <w:top w:w="0" w:type="dxa"/>
            <w:left w:w="108" w:type="dxa"/>
            <w:bottom w:w="0" w:type="dxa"/>
            <w:right w:w="108" w:type="dxa"/>
          </w:tblCellMar>
        </w:tblPrEx>
        <w:trPr>
          <w:trHeight w:val="555" w:hRule="atLeast"/>
        </w:trPr>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14:paraId="31080437">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项目名称</w:t>
            </w:r>
          </w:p>
        </w:tc>
        <w:tc>
          <w:tcPr>
            <w:tcW w:w="7513" w:type="dxa"/>
            <w:tcBorders>
              <w:top w:val="single" w:color="auto" w:sz="4" w:space="0"/>
              <w:left w:val="nil"/>
              <w:bottom w:val="single" w:color="auto" w:sz="4" w:space="0"/>
              <w:right w:val="single" w:color="auto" w:sz="4" w:space="0"/>
            </w:tcBorders>
            <w:shd w:val="clear" w:color="auto" w:fill="auto"/>
            <w:vAlign w:val="center"/>
          </w:tcPr>
          <w:p w14:paraId="6615E594">
            <w:pPr>
              <w:widowControl/>
              <w:jc w:val="left"/>
              <w:rPr>
                <w:rFonts w:ascii="等线" w:hAnsi="等线" w:eastAsia="等线" w:cs="宋体"/>
                <w:color w:val="000000"/>
                <w:kern w:val="0"/>
                <w:sz w:val="22"/>
              </w:rPr>
            </w:pPr>
            <w:r>
              <w:rPr>
                <w:rFonts w:hint="eastAsia" w:ascii="等线" w:hAnsi="等线" w:eastAsia="等线" w:cs="宋体"/>
                <w:color w:val="000000"/>
                <w:kern w:val="0"/>
                <w:sz w:val="22"/>
              </w:rPr>
              <w:t>大孔径CT维保服务项目</w:t>
            </w:r>
          </w:p>
        </w:tc>
      </w:tr>
      <w:tr w14:paraId="2F5F83DE">
        <w:tblPrEx>
          <w:tblCellMar>
            <w:top w:w="0" w:type="dxa"/>
            <w:left w:w="108" w:type="dxa"/>
            <w:bottom w:w="0" w:type="dxa"/>
            <w:right w:w="108" w:type="dxa"/>
          </w:tblCellMar>
        </w:tblPrEx>
        <w:trPr>
          <w:trHeight w:val="555" w:hRule="atLeast"/>
        </w:trPr>
        <w:tc>
          <w:tcPr>
            <w:tcW w:w="2693" w:type="dxa"/>
            <w:tcBorders>
              <w:top w:val="nil"/>
              <w:left w:val="single" w:color="auto" w:sz="4" w:space="0"/>
              <w:bottom w:val="single" w:color="auto" w:sz="4" w:space="0"/>
              <w:right w:val="single" w:color="auto" w:sz="4" w:space="0"/>
            </w:tcBorders>
            <w:shd w:val="clear" w:color="auto" w:fill="auto"/>
            <w:vAlign w:val="center"/>
          </w:tcPr>
          <w:p w14:paraId="7D45E8DE">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申请科室</w:t>
            </w:r>
          </w:p>
        </w:tc>
        <w:tc>
          <w:tcPr>
            <w:tcW w:w="7513" w:type="dxa"/>
            <w:tcBorders>
              <w:top w:val="nil"/>
              <w:left w:val="nil"/>
              <w:bottom w:val="single" w:color="auto" w:sz="4" w:space="0"/>
              <w:right w:val="single" w:color="auto" w:sz="4" w:space="0"/>
            </w:tcBorders>
            <w:shd w:val="clear" w:color="auto" w:fill="auto"/>
            <w:vAlign w:val="center"/>
          </w:tcPr>
          <w:p w14:paraId="13B29477">
            <w:pPr>
              <w:widowControl/>
              <w:jc w:val="left"/>
              <w:rPr>
                <w:rFonts w:hint="default"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医学影像科放疗室</w:t>
            </w:r>
          </w:p>
        </w:tc>
      </w:tr>
      <w:tr w14:paraId="106A58C3">
        <w:tblPrEx>
          <w:tblCellMar>
            <w:top w:w="0" w:type="dxa"/>
            <w:left w:w="108" w:type="dxa"/>
            <w:bottom w:w="0" w:type="dxa"/>
            <w:right w:w="108" w:type="dxa"/>
          </w:tblCellMar>
        </w:tblPrEx>
        <w:trPr>
          <w:trHeight w:val="555" w:hRule="atLeast"/>
        </w:trPr>
        <w:tc>
          <w:tcPr>
            <w:tcW w:w="2693" w:type="dxa"/>
            <w:tcBorders>
              <w:top w:val="nil"/>
              <w:left w:val="single" w:color="auto" w:sz="4" w:space="0"/>
              <w:bottom w:val="single" w:color="auto" w:sz="4" w:space="0"/>
              <w:right w:val="single" w:color="auto" w:sz="4" w:space="0"/>
            </w:tcBorders>
            <w:shd w:val="clear" w:color="auto" w:fill="auto"/>
            <w:vAlign w:val="center"/>
          </w:tcPr>
          <w:p w14:paraId="6A3CEE9D">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采购数量</w:t>
            </w:r>
          </w:p>
        </w:tc>
        <w:tc>
          <w:tcPr>
            <w:tcW w:w="7513" w:type="dxa"/>
            <w:tcBorders>
              <w:top w:val="nil"/>
              <w:left w:val="nil"/>
              <w:bottom w:val="single" w:color="auto" w:sz="4" w:space="0"/>
              <w:right w:val="single" w:color="auto" w:sz="4" w:space="0"/>
            </w:tcBorders>
            <w:shd w:val="clear" w:color="auto" w:fill="auto"/>
            <w:vAlign w:val="center"/>
          </w:tcPr>
          <w:p w14:paraId="6B7EC7D4">
            <w:pPr>
              <w:widowControl/>
              <w:jc w:val="left"/>
              <w:rPr>
                <w:rFonts w:hint="default"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3年</w:t>
            </w:r>
          </w:p>
        </w:tc>
      </w:tr>
      <w:tr w14:paraId="2186856A">
        <w:tblPrEx>
          <w:tblCellMar>
            <w:top w:w="0" w:type="dxa"/>
            <w:left w:w="108" w:type="dxa"/>
            <w:bottom w:w="0" w:type="dxa"/>
            <w:right w:w="108" w:type="dxa"/>
          </w:tblCellMar>
        </w:tblPrEx>
        <w:trPr>
          <w:trHeight w:val="555" w:hRule="atLeast"/>
        </w:trPr>
        <w:tc>
          <w:tcPr>
            <w:tcW w:w="2693" w:type="dxa"/>
            <w:tcBorders>
              <w:top w:val="nil"/>
              <w:left w:val="single" w:color="auto" w:sz="4" w:space="0"/>
              <w:bottom w:val="single" w:color="auto" w:sz="4" w:space="0"/>
              <w:right w:val="single" w:color="auto" w:sz="4" w:space="0"/>
            </w:tcBorders>
            <w:shd w:val="clear" w:color="auto" w:fill="auto"/>
            <w:vAlign w:val="center"/>
          </w:tcPr>
          <w:p w14:paraId="616D270E">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预算总金额</w:t>
            </w:r>
          </w:p>
        </w:tc>
        <w:tc>
          <w:tcPr>
            <w:tcW w:w="7513" w:type="dxa"/>
            <w:tcBorders>
              <w:top w:val="nil"/>
              <w:left w:val="nil"/>
              <w:bottom w:val="single" w:color="auto" w:sz="4" w:space="0"/>
              <w:right w:val="single" w:color="auto" w:sz="4" w:space="0"/>
            </w:tcBorders>
            <w:shd w:val="clear" w:color="auto" w:fill="auto"/>
            <w:vAlign w:val="center"/>
          </w:tcPr>
          <w:p w14:paraId="47971939">
            <w:pPr>
              <w:widowControl/>
              <w:jc w:val="left"/>
              <w:rPr>
                <w:rFonts w:hint="default"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114万</w:t>
            </w:r>
          </w:p>
        </w:tc>
      </w:tr>
      <w:tr w14:paraId="0A198E49">
        <w:tblPrEx>
          <w:tblCellMar>
            <w:top w:w="0" w:type="dxa"/>
            <w:left w:w="108" w:type="dxa"/>
            <w:bottom w:w="0" w:type="dxa"/>
            <w:right w:w="108" w:type="dxa"/>
          </w:tblCellMar>
        </w:tblPrEx>
        <w:trPr>
          <w:trHeight w:val="555" w:hRule="atLeast"/>
        </w:trPr>
        <w:tc>
          <w:tcPr>
            <w:tcW w:w="1020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DB55A98">
            <w:pPr>
              <w:widowControl/>
              <w:jc w:val="center"/>
              <w:rPr>
                <w:rFonts w:ascii="等线" w:hAnsi="等线" w:eastAsia="等线" w:cs="宋体"/>
                <w:b/>
                <w:bCs/>
                <w:color w:val="000000"/>
                <w:kern w:val="0"/>
                <w:sz w:val="22"/>
              </w:rPr>
            </w:pPr>
            <w:r>
              <w:rPr>
                <w:rFonts w:hint="eastAsia" w:ascii="等线" w:hAnsi="等线" w:eastAsia="等线" w:cs="宋体"/>
                <w:b/>
                <w:bCs/>
                <w:color w:val="000000"/>
                <w:kern w:val="0"/>
                <w:sz w:val="22"/>
              </w:rPr>
              <w:t>项目采购需求及参数</w:t>
            </w:r>
          </w:p>
        </w:tc>
      </w:tr>
      <w:tr w14:paraId="7B2080FF">
        <w:tblPrEx>
          <w:tblCellMar>
            <w:top w:w="0" w:type="dxa"/>
            <w:left w:w="108" w:type="dxa"/>
            <w:bottom w:w="0" w:type="dxa"/>
            <w:right w:w="108" w:type="dxa"/>
          </w:tblCellMar>
        </w:tblPrEx>
        <w:trPr>
          <w:trHeight w:val="555" w:hRule="atLeast"/>
        </w:trPr>
        <w:tc>
          <w:tcPr>
            <w:tcW w:w="10206" w:type="dxa"/>
            <w:gridSpan w:val="2"/>
            <w:tcBorders>
              <w:top w:val="nil"/>
              <w:left w:val="single" w:color="auto" w:sz="4" w:space="0"/>
              <w:bottom w:val="single" w:color="auto" w:sz="4" w:space="0"/>
              <w:right w:val="single" w:color="auto" w:sz="4" w:space="0"/>
            </w:tcBorders>
            <w:shd w:val="clear" w:color="auto" w:fill="auto"/>
            <w:vAlign w:val="center"/>
          </w:tcPr>
          <w:p w14:paraId="49674BCC">
            <w:pPr>
              <w:widowControl/>
              <w:jc w:val="left"/>
              <w:rPr>
                <w:rFonts w:ascii="等线" w:hAnsi="等线" w:eastAsia="等线" w:cs="宋体"/>
                <w:color w:val="000000"/>
                <w:kern w:val="0"/>
                <w:sz w:val="22"/>
              </w:rPr>
            </w:pPr>
            <w:r>
              <w:rPr>
                <w:rFonts w:hint="eastAsia" w:ascii="等线" w:hAnsi="等线" w:eastAsia="等线" w:cs="宋体"/>
                <w:color w:val="000000"/>
                <w:kern w:val="0"/>
                <w:sz w:val="22"/>
              </w:rPr>
              <w:t>一、技术要求</w:t>
            </w:r>
          </w:p>
        </w:tc>
      </w:tr>
      <w:tr w14:paraId="726F74F8">
        <w:tblPrEx>
          <w:tblCellMar>
            <w:top w:w="0" w:type="dxa"/>
            <w:left w:w="108" w:type="dxa"/>
            <w:bottom w:w="0" w:type="dxa"/>
            <w:right w:w="108" w:type="dxa"/>
          </w:tblCellMar>
        </w:tblPrEx>
        <w:trPr>
          <w:trHeight w:val="555" w:hRule="atLeast"/>
        </w:trPr>
        <w:tc>
          <w:tcPr>
            <w:tcW w:w="10206" w:type="dxa"/>
            <w:gridSpan w:val="2"/>
            <w:tcBorders>
              <w:top w:val="nil"/>
              <w:left w:val="single" w:color="auto" w:sz="4" w:space="0"/>
              <w:bottom w:val="single" w:color="auto" w:sz="4" w:space="0"/>
              <w:right w:val="single" w:color="auto" w:sz="4" w:space="0"/>
            </w:tcBorders>
            <w:shd w:val="clear" w:color="auto" w:fill="auto"/>
            <w:vAlign w:val="center"/>
          </w:tcPr>
          <w:p w14:paraId="5757E867">
            <w:pPr>
              <w:widowControl/>
              <w:jc w:val="left"/>
              <w:rPr>
                <w:rFonts w:hint="default" w:asciiTheme="minorAscii" w:hAnsiTheme="minorAscii"/>
                <w:sz w:val="22"/>
                <w:szCs w:val="22"/>
              </w:rPr>
            </w:pPr>
            <w:r>
              <w:rPr>
                <w:rFonts w:hint="default" w:asciiTheme="minorAscii" w:hAnsiTheme="minorAscii"/>
                <w:sz w:val="22"/>
                <w:szCs w:val="22"/>
              </w:rPr>
              <w:t>一、项目概述</w:t>
            </w:r>
          </w:p>
          <w:p w14:paraId="60EC16FA">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default" w:asciiTheme="minorAscii" w:hAnsiTheme="minorAscii"/>
                <w:sz w:val="22"/>
                <w:szCs w:val="22"/>
              </w:rPr>
            </w:pPr>
            <w:r>
              <w:rPr>
                <w:rFonts w:hint="default" w:asciiTheme="minorAscii" w:hAnsiTheme="minorAscii"/>
                <w:sz w:val="22"/>
                <w:szCs w:val="22"/>
              </w:rPr>
              <w:t>本次项目为中山市中医院Brilliance 大孔径CT设备维修保养，服务商必须按国家、行业的标准及招标文件的要求对项目内的设备进行系统的、全面的检测、维护及保养，以保证该设备的高效、正常运作。</w:t>
            </w:r>
          </w:p>
          <w:p w14:paraId="3CF271FA">
            <w:pPr>
              <w:widowControl/>
              <w:numPr>
                <w:ilvl w:val="0"/>
                <w:numId w:val="0"/>
              </w:numPr>
              <w:jc w:val="left"/>
              <w:rPr>
                <w:rFonts w:hint="default" w:asciiTheme="minorAscii" w:hAnsiTheme="minorAscii"/>
                <w:sz w:val="22"/>
                <w:szCs w:val="22"/>
              </w:rPr>
            </w:pPr>
            <w:r>
              <w:rPr>
                <w:rFonts w:hint="eastAsia" w:asciiTheme="minorAscii" w:hAnsiTheme="minorAscii" w:eastAsiaTheme="minorEastAsia" w:cstheme="minorBidi"/>
                <w:kern w:val="2"/>
                <w:sz w:val="22"/>
                <w:szCs w:val="22"/>
                <w:lang w:val="en-US" w:eastAsia="zh-CN" w:bidi="ar-SA"/>
              </w:rPr>
              <w:t>二、</w:t>
            </w:r>
            <w:r>
              <w:rPr>
                <w:rFonts w:hint="default" w:asciiTheme="minorAscii" w:hAnsiTheme="minorAscii"/>
                <w:sz w:val="22"/>
                <w:szCs w:val="22"/>
              </w:rPr>
              <w:t>项目内容</w:t>
            </w:r>
          </w:p>
          <w:tbl>
            <w:tblPr>
              <w:tblStyle w:val="8"/>
              <w:tblW w:w="81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14"/>
              <w:gridCol w:w="2325"/>
              <w:gridCol w:w="1747"/>
              <w:gridCol w:w="1080"/>
            </w:tblGrid>
            <w:tr w14:paraId="770F6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14" w:type="dxa"/>
                  <w:vAlign w:val="center"/>
                </w:tcPr>
                <w:p w14:paraId="1CB0EDDC">
                  <w:pPr>
                    <w:widowControl/>
                    <w:numPr>
                      <w:ilvl w:val="0"/>
                      <w:numId w:val="0"/>
                    </w:numPr>
                    <w:jc w:val="center"/>
                    <w:rPr>
                      <w:rFonts w:hint="default" w:asciiTheme="minorAscii" w:hAnsiTheme="minorAscii" w:eastAsiaTheme="minorEastAsia"/>
                      <w:sz w:val="22"/>
                      <w:szCs w:val="22"/>
                      <w:vertAlign w:val="baseline"/>
                      <w:lang w:val="en-US" w:eastAsia="zh-CN"/>
                    </w:rPr>
                  </w:pPr>
                  <w:r>
                    <w:rPr>
                      <w:rFonts w:hint="eastAsia" w:asciiTheme="minorAscii" w:hAnsiTheme="minorAscii"/>
                      <w:sz w:val="22"/>
                      <w:szCs w:val="22"/>
                      <w:lang w:val="en-US" w:eastAsia="zh-CN"/>
                    </w:rPr>
                    <w:t>设备名称</w:t>
                  </w:r>
                </w:p>
              </w:tc>
              <w:tc>
                <w:tcPr>
                  <w:tcW w:w="2325" w:type="dxa"/>
                  <w:vAlign w:val="center"/>
                </w:tcPr>
                <w:p w14:paraId="74C0D64A">
                  <w:pPr>
                    <w:widowControl/>
                    <w:numPr>
                      <w:ilvl w:val="0"/>
                      <w:numId w:val="0"/>
                    </w:numPr>
                    <w:jc w:val="center"/>
                    <w:rPr>
                      <w:rFonts w:hint="eastAsia" w:asciiTheme="minorAscii" w:hAnsiTheme="minorAscii" w:eastAsiaTheme="minorEastAsia"/>
                      <w:sz w:val="22"/>
                      <w:szCs w:val="22"/>
                      <w:vertAlign w:val="baseline"/>
                      <w:lang w:eastAsia="zh-CN"/>
                    </w:rPr>
                  </w:pPr>
                  <w:r>
                    <w:rPr>
                      <w:rFonts w:hint="eastAsia" w:asciiTheme="minorAscii" w:hAnsiTheme="minorAscii"/>
                      <w:sz w:val="22"/>
                      <w:szCs w:val="22"/>
                      <w:lang w:val="en-US" w:eastAsia="zh-CN"/>
                    </w:rPr>
                    <w:t>型号</w:t>
                  </w:r>
                </w:p>
              </w:tc>
              <w:tc>
                <w:tcPr>
                  <w:tcW w:w="1747" w:type="dxa"/>
                  <w:vAlign w:val="center"/>
                </w:tcPr>
                <w:p w14:paraId="0072D0DD">
                  <w:pPr>
                    <w:widowControl/>
                    <w:numPr>
                      <w:ilvl w:val="0"/>
                      <w:numId w:val="0"/>
                    </w:numPr>
                    <w:jc w:val="center"/>
                    <w:rPr>
                      <w:rFonts w:hint="default" w:asciiTheme="minorAscii" w:hAnsiTheme="minorAscii" w:eastAsiaTheme="minorEastAsia"/>
                      <w:sz w:val="22"/>
                      <w:szCs w:val="22"/>
                      <w:vertAlign w:val="baseline"/>
                      <w:lang w:val="en-US" w:eastAsia="zh-CN"/>
                    </w:rPr>
                  </w:pPr>
                  <w:r>
                    <w:rPr>
                      <w:rFonts w:hint="eastAsia" w:asciiTheme="minorAscii" w:hAnsiTheme="minorAscii"/>
                      <w:sz w:val="22"/>
                      <w:szCs w:val="22"/>
                      <w:lang w:val="en-US" w:eastAsia="zh-CN"/>
                    </w:rPr>
                    <w:t>启用时间</w:t>
                  </w:r>
                </w:p>
              </w:tc>
              <w:tc>
                <w:tcPr>
                  <w:tcW w:w="1080" w:type="dxa"/>
                  <w:vAlign w:val="center"/>
                </w:tcPr>
                <w:p w14:paraId="19FBF90E">
                  <w:pPr>
                    <w:widowControl/>
                    <w:numPr>
                      <w:ilvl w:val="0"/>
                      <w:numId w:val="0"/>
                    </w:numPr>
                    <w:jc w:val="center"/>
                    <w:rPr>
                      <w:rFonts w:hint="eastAsia" w:asciiTheme="minorAscii" w:hAnsiTheme="minorAscii" w:eastAsiaTheme="minorEastAsia"/>
                      <w:sz w:val="22"/>
                      <w:szCs w:val="22"/>
                      <w:lang w:val="en-US" w:eastAsia="zh-CN"/>
                    </w:rPr>
                  </w:pPr>
                  <w:r>
                    <w:rPr>
                      <w:rFonts w:hint="eastAsia" w:asciiTheme="minorAscii" w:hAnsiTheme="minorAscii"/>
                      <w:sz w:val="22"/>
                      <w:szCs w:val="22"/>
                      <w:lang w:val="en-US" w:eastAsia="zh-CN"/>
                    </w:rPr>
                    <w:t>数量</w:t>
                  </w:r>
                </w:p>
              </w:tc>
            </w:tr>
            <w:tr w14:paraId="144CF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14" w:type="dxa"/>
                  <w:vAlign w:val="center"/>
                </w:tcPr>
                <w:p w14:paraId="29D39359">
                  <w:pPr>
                    <w:widowControl/>
                    <w:numPr>
                      <w:ilvl w:val="0"/>
                      <w:numId w:val="0"/>
                    </w:numPr>
                    <w:jc w:val="center"/>
                    <w:rPr>
                      <w:rFonts w:hint="eastAsia" w:asciiTheme="minorAscii" w:hAnsiTheme="minorAscii" w:eastAsiaTheme="minorEastAsia"/>
                      <w:sz w:val="22"/>
                      <w:szCs w:val="22"/>
                      <w:vertAlign w:val="baseline"/>
                      <w:lang w:val="en-US" w:eastAsia="zh-CN"/>
                    </w:rPr>
                  </w:pPr>
                  <w:r>
                    <w:rPr>
                      <w:rFonts w:hint="default" w:asciiTheme="minorAscii" w:hAnsiTheme="minorAscii"/>
                      <w:sz w:val="22"/>
                      <w:szCs w:val="22"/>
                      <w:vertAlign w:val="baseline"/>
                    </w:rPr>
                    <w:t>飞利浦大孔径CT</w:t>
                  </w:r>
                  <w:r>
                    <w:rPr>
                      <w:rFonts w:hint="eastAsia" w:asciiTheme="minorAscii" w:hAnsiTheme="minorAscii"/>
                      <w:sz w:val="22"/>
                      <w:szCs w:val="22"/>
                      <w:vertAlign w:val="baseline"/>
                      <w:lang w:val="en-US" w:eastAsia="zh-CN"/>
                    </w:rPr>
                    <w:t>设备</w:t>
                  </w:r>
                </w:p>
              </w:tc>
              <w:tc>
                <w:tcPr>
                  <w:tcW w:w="2325" w:type="dxa"/>
                  <w:vAlign w:val="center"/>
                </w:tcPr>
                <w:p w14:paraId="0E205E66">
                  <w:pPr>
                    <w:widowControl/>
                    <w:numPr>
                      <w:ilvl w:val="0"/>
                      <w:numId w:val="0"/>
                    </w:numPr>
                    <w:jc w:val="center"/>
                    <w:rPr>
                      <w:rFonts w:hint="default" w:asciiTheme="minorAscii" w:hAnsiTheme="minorAscii"/>
                      <w:sz w:val="22"/>
                      <w:szCs w:val="22"/>
                      <w:vertAlign w:val="baseline"/>
                    </w:rPr>
                  </w:pPr>
                  <w:r>
                    <w:rPr>
                      <w:rFonts w:hint="eastAsia"/>
                    </w:rPr>
                    <w:t>Brilliance CT</w:t>
                  </w:r>
                </w:p>
              </w:tc>
              <w:tc>
                <w:tcPr>
                  <w:tcW w:w="1747" w:type="dxa"/>
                  <w:vAlign w:val="center"/>
                </w:tcPr>
                <w:p w14:paraId="45A31F47">
                  <w:pPr>
                    <w:widowControl/>
                    <w:numPr>
                      <w:ilvl w:val="0"/>
                      <w:numId w:val="0"/>
                    </w:numPr>
                    <w:jc w:val="center"/>
                    <w:rPr>
                      <w:rFonts w:hint="default" w:asciiTheme="minorAscii" w:hAnsiTheme="minorAscii" w:eastAsiaTheme="minorEastAsia"/>
                      <w:sz w:val="22"/>
                      <w:szCs w:val="22"/>
                      <w:vertAlign w:val="baseline"/>
                      <w:lang w:val="en-US" w:eastAsia="zh-CN"/>
                    </w:rPr>
                  </w:pPr>
                  <w:r>
                    <w:rPr>
                      <w:rFonts w:hint="eastAsia" w:asciiTheme="minorAscii" w:hAnsiTheme="minorAscii"/>
                      <w:sz w:val="22"/>
                      <w:szCs w:val="22"/>
                      <w:vertAlign w:val="baseline"/>
                      <w:lang w:val="en-US" w:eastAsia="zh-CN"/>
                    </w:rPr>
                    <w:t>2017年10月</w:t>
                  </w:r>
                </w:p>
              </w:tc>
              <w:tc>
                <w:tcPr>
                  <w:tcW w:w="1080" w:type="dxa"/>
                  <w:vAlign w:val="center"/>
                </w:tcPr>
                <w:p w14:paraId="4DDB945D">
                  <w:pPr>
                    <w:widowControl/>
                    <w:numPr>
                      <w:ilvl w:val="0"/>
                      <w:numId w:val="0"/>
                    </w:numPr>
                    <w:jc w:val="center"/>
                    <w:rPr>
                      <w:rFonts w:hint="default" w:asciiTheme="minorAscii" w:hAnsiTheme="minorAscii" w:eastAsiaTheme="minorEastAsia"/>
                      <w:sz w:val="22"/>
                      <w:szCs w:val="22"/>
                      <w:vertAlign w:val="baseline"/>
                      <w:lang w:val="en-US" w:eastAsia="zh-CN"/>
                    </w:rPr>
                  </w:pPr>
                  <w:r>
                    <w:rPr>
                      <w:rFonts w:hint="eastAsia" w:asciiTheme="minorAscii" w:hAnsiTheme="minorAscii"/>
                      <w:sz w:val="22"/>
                      <w:szCs w:val="22"/>
                      <w:vertAlign w:val="baseline"/>
                      <w:lang w:val="en-US" w:eastAsia="zh-CN"/>
                    </w:rPr>
                    <w:t>1台</w:t>
                  </w:r>
                </w:p>
              </w:tc>
            </w:tr>
          </w:tbl>
          <w:p w14:paraId="158EF423">
            <w:pPr>
              <w:widowControl/>
              <w:jc w:val="left"/>
              <w:rPr>
                <w:rFonts w:hint="default" w:asciiTheme="minorAscii" w:hAnsiTheme="minorAscii"/>
                <w:sz w:val="22"/>
                <w:szCs w:val="22"/>
              </w:rPr>
            </w:pPr>
          </w:p>
          <w:p w14:paraId="03CA1374">
            <w:pPr>
              <w:keepNext w:val="0"/>
              <w:keepLines w:val="0"/>
              <w:pageBreakBefore w:val="0"/>
              <w:widowControl/>
              <w:numPr>
                <w:ilvl w:val="0"/>
                <w:numId w:val="0"/>
              </w:numPr>
              <w:kinsoku/>
              <w:wordWrap/>
              <w:overflowPunct/>
              <w:topLinePunct w:val="0"/>
              <w:autoSpaceDE/>
              <w:autoSpaceDN/>
              <w:bidi w:val="0"/>
              <w:adjustRightInd/>
              <w:snapToGrid/>
              <w:ind w:firstLine="440" w:firstLineChars="200"/>
              <w:jc w:val="left"/>
              <w:textAlignment w:val="auto"/>
              <w:rPr>
                <w:rFonts w:hint="default" w:asciiTheme="minorAscii" w:hAnsiTheme="minorAscii"/>
                <w:sz w:val="22"/>
                <w:szCs w:val="22"/>
                <w:highlight w:val="none"/>
              </w:rPr>
            </w:pPr>
            <w:r>
              <w:rPr>
                <w:rFonts w:hint="default" w:asciiTheme="minorAscii" w:hAnsiTheme="minorAscii" w:eastAsiaTheme="minorEastAsia" w:cstheme="minorBidi"/>
                <w:kern w:val="2"/>
                <w:sz w:val="22"/>
                <w:szCs w:val="22"/>
                <w:lang w:val="en-US" w:eastAsia="zh-CN" w:bidi="ar-SA"/>
              </w:rPr>
              <w:t>1、</w:t>
            </w:r>
            <w:r>
              <w:rPr>
                <w:rFonts w:hint="default" w:asciiTheme="minorAscii" w:hAnsiTheme="minorAscii"/>
                <w:sz w:val="22"/>
                <w:szCs w:val="22"/>
              </w:rPr>
              <w:t>维保服务</w:t>
            </w:r>
            <w:r>
              <w:rPr>
                <w:rFonts w:hint="eastAsia" w:asciiTheme="minorAscii" w:hAnsiTheme="minorAscii"/>
                <w:sz w:val="22"/>
                <w:szCs w:val="22"/>
                <w:lang w:val="en-US" w:eastAsia="zh-CN"/>
              </w:rPr>
              <w:t>内容</w:t>
            </w:r>
            <w:r>
              <w:rPr>
                <w:rFonts w:hint="default" w:asciiTheme="minorAscii" w:hAnsiTheme="minorAscii"/>
                <w:sz w:val="22"/>
                <w:szCs w:val="22"/>
              </w:rPr>
              <w:t>：设备</w:t>
            </w:r>
            <w:r>
              <w:rPr>
                <w:rFonts w:hint="default" w:asciiTheme="minorAscii" w:hAnsiTheme="minorAscii"/>
                <w:sz w:val="22"/>
                <w:szCs w:val="22"/>
                <w:highlight w:val="none"/>
              </w:rPr>
              <w:t>的</w:t>
            </w:r>
            <w:r>
              <w:rPr>
                <w:rFonts w:hint="eastAsia" w:asciiTheme="minorAscii" w:hAnsiTheme="minorAscii"/>
                <w:sz w:val="22"/>
                <w:szCs w:val="22"/>
                <w:highlight w:val="none"/>
                <w:lang w:val="en-US" w:eastAsia="zh-CN"/>
              </w:rPr>
              <w:t>3</w:t>
            </w:r>
            <w:r>
              <w:rPr>
                <w:rFonts w:hint="default" w:asciiTheme="minorAscii" w:hAnsiTheme="minorAscii"/>
                <w:sz w:val="22"/>
                <w:szCs w:val="22"/>
                <w:highlight w:val="none"/>
              </w:rPr>
              <w:t>年整机全保，包括但不限于每年提供至少四次设备的预防性保养</w:t>
            </w:r>
            <w:r>
              <w:rPr>
                <w:rFonts w:hint="eastAsia" w:asciiTheme="minorAscii" w:hAnsiTheme="minorAscii"/>
                <w:sz w:val="22"/>
                <w:szCs w:val="22"/>
                <w:highlight w:val="none"/>
                <w:lang w:eastAsia="zh-CN"/>
              </w:rPr>
              <w:t>、</w:t>
            </w:r>
            <w:r>
              <w:rPr>
                <w:rFonts w:hint="default" w:asciiTheme="minorAscii" w:hAnsiTheme="minorAscii"/>
                <w:sz w:val="22"/>
                <w:szCs w:val="22"/>
                <w:highlight w:val="none"/>
              </w:rPr>
              <w:t>安全检查，影像质量检查，设备除尘保养，运行状态检查及系统状态</w:t>
            </w:r>
            <w:r>
              <w:rPr>
                <w:rFonts w:hint="eastAsia" w:asciiTheme="minorAscii" w:hAnsiTheme="minorAscii"/>
                <w:sz w:val="22"/>
                <w:szCs w:val="22"/>
                <w:highlight w:val="none"/>
                <w:lang w:eastAsia="zh-CN"/>
              </w:rPr>
              <w:t>，不限次数维修，</w:t>
            </w:r>
            <w:r>
              <w:rPr>
                <w:rFonts w:hint="default" w:asciiTheme="minorAscii" w:hAnsiTheme="minorAscii"/>
                <w:sz w:val="22"/>
                <w:szCs w:val="22"/>
                <w:highlight w:val="none"/>
              </w:rPr>
              <w:t>并提供每次维护保养报告</w:t>
            </w:r>
            <w:r>
              <w:rPr>
                <w:rFonts w:hint="eastAsia" w:asciiTheme="minorAscii" w:hAnsiTheme="minorAscii"/>
                <w:sz w:val="22"/>
                <w:szCs w:val="22"/>
                <w:highlight w:val="none"/>
                <w:lang w:eastAsia="zh-CN"/>
              </w:rPr>
              <w:t>、</w:t>
            </w:r>
            <w:r>
              <w:rPr>
                <w:rFonts w:hint="eastAsia" w:asciiTheme="minorAscii" w:hAnsiTheme="minorAscii"/>
                <w:sz w:val="22"/>
                <w:szCs w:val="22"/>
                <w:highlight w:val="none"/>
                <w:lang w:val="en-US" w:eastAsia="zh-CN"/>
              </w:rPr>
              <w:t>维修记录</w:t>
            </w:r>
            <w:r>
              <w:rPr>
                <w:rFonts w:hint="eastAsia" w:asciiTheme="minorAscii" w:hAnsiTheme="minorAscii"/>
                <w:sz w:val="22"/>
                <w:szCs w:val="22"/>
                <w:highlight w:val="none"/>
                <w:lang w:eastAsia="zh-CN"/>
              </w:rPr>
              <w:t>和</w:t>
            </w:r>
            <w:r>
              <w:rPr>
                <w:rFonts w:hint="eastAsia"/>
                <w:sz w:val="22"/>
                <w:highlight w:val="none"/>
              </w:rPr>
              <w:t>年度维保报告</w:t>
            </w:r>
            <w:r>
              <w:rPr>
                <w:rFonts w:hint="default" w:asciiTheme="minorAscii" w:hAnsiTheme="minorAscii"/>
                <w:sz w:val="22"/>
                <w:szCs w:val="22"/>
                <w:highlight w:val="none"/>
              </w:rPr>
              <w:t>。计划性定期的维修服务检测包括设备清洁、性能测试及校准、必要的机械或电气检查，以及非紧急性质的补救维修，确保</w:t>
            </w:r>
            <w:r>
              <w:rPr>
                <w:rFonts w:hint="eastAsia" w:asciiTheme="minorAscii" w:hAnsiTheme="minorAscii"/>
                <w:sz w:val="22"/>
                <w:szCs w:val="22"/>
                <w:highlight w:val="none"/>
                <w:lang w:val="en-US" w:eastAsia="zh-CN"/>
              </w:rPr>
              <w:t>设备</w:t>
            </w:r>
            <w:r>
              <w:rPr>
                <w:rFonts w:hint="default" w:asciiTheme="minorAscii" w:hAnsiTheme="minorAscii"/>
                <w:sz w:val="22"/>
                <w:szCs w:val="22"/>
                <w:highlight w:val="none"/>
              </w:rPr>
              <w:t>能按产品指标运行，此项定期维护服务间隔进行，严格按照制造厂商的质量标准。</w:t>
            </w:r>
          </w:p>
          <w:p w14:paraId="1478A11A">
            <w:pPr>
              <w:keepNext w:val="0"/>
              <w:keepLines w:val="0"/>
              <w:pageBreakBefore w:val="0"/>
              <w:widowControl/>
              <w:numPr>
                <w:ilvl w:val="0"/>
                <w:numId w:val="0"/>
              </w:numPr>
              <w:kinsoku/>
              <w:wordWrap/>
              <w:overflowPunct/>
              <w:topLinePunct w:val="0"/>
              <w:autoSpaceDE/>
              <w:autoSpaceDN/>
              <w:bidi w:val="0"/>
              <w:adjustRightInd/>
              <w:snapToGrid/>
              <w:ind w:firstLine="440" w:firstLineChars="200"/>
              <w:jc w:val="left"/>
              <w:textAlignment w:val="auto"/>
              <w:rPr>
                <w:rFonts w:hint="eastAsia" w:asciiTheme="minorAscii" w:hAnsiTheme="minorAscii" w:eastAsiaTheme="minorEastAsia"/>
                <w:sz w:val="22"/>
                <w:szCs w:val="22"/>
                <w:highlight w:val="none"/>
                <w:lang w:val="en-US" w:eastAsia="zh-CN"/>
              </w:rPr>
            </w:pPr>
            <w:r>
              <w:rPr>
                <w:rFonts w:hint="eastAsia" w:asciiTheme="minorAscii" w:hAnsiTheme="minorAscii"/>
                <w:sz w:val="22"/>
                <w:szCs w:val="22"/>
                <w:highlight w:val="none"/>
                <w:lang w:val="en-US" w:eastAsia="zh-CN"/>
              </w:rPr>
              <w:t>2、</w:t>
            </w:r>
            <w:r>
              <w:rPr>
                <w:rFonts w:hint="default" w:asciiTheme="minorAscii" w:hAnsiTheme="minorAscii"/>
                <w:sz w:val="22"/>
                <w:szCs w:val="22"/>
                <w:highlight w:val="none"/>
              </w:rPr>
              <w:t>维保服务</w:t>
            </w:r>
            <w:r>
              <w:rPr>
                <w:rFonts w:hint="eastAsia" w:asciiTheme="minorAscii" w:hAnsiTheme="minorAscii"/>
                <w:sz w:val="22"/>
                <w:szCs w:val="22"/>
                <w:highlight w:val="none"/>
                <w:lang w:val="en-US" w:eastAsia="zh-CN"/>
              </w:rPr>
              <w:t>范围：包含主机备件、探测器、工作站、高压发生器等所有备件更换费用和维修保养人工费；包含放疗计划系统 Pinnacle3 EXPERT SERVER 及 LAP 激光定位灯的保修；包含放疗计划系统前置机1台的更新；不包含球管及其它第三方设备，如稳压电源，UPS， 激光相机，外配打印机，录像机，视频外设等。</w:t>
            </w:r>
          </w:p>
          <w:p w14:paraId="0AE75F2D">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default" w:asciiTheme="minorAscii" w:hAnsiTheme="minorAscii"/>
                <w:sz w:val="22"/>
                <w:szCs w:val="22"/>
                <w:highlight w:val="none"/>
              </w:rPr>
            </w:pPr>
            <w:r>
              <w:rPr>
                <w:rFonts w:hint="eastAsia" w:asciiTheme="minorAscii" w:hAnsiTheme="minorAscii"/>
                <w:sz w:val="22"/>
                <w:szCs w:val="22"/>
                <w:highlight w:val="none"/>
                <w:lang w:val="en-US" w:eastAsia="zh-CN"/>
              </w:rPr>
              <w:t>3</w:t>
            </w:r>
            <w:r>
              <w:rPr>
                <w:rFonts w:hint="default" w:asciiTheme="minorAscii" w:hAnsiTheme="minorAscii"/>
                <w:sz w:val="22"/>
                <w:szCs w:val="22"/>
                <w:highlight w:val="none"/>
              </w:rPr>
              <w:t>、服务期内提供无限次上门维修服务，维修结束后提供维修报告。</w:t>
            </w:r>
            <w:r>
              <w:rPr>
                <w:rFonts w:hint="eastAsia" w:asciiTheme="minorAscii" w:hAnsiTheme="minorAscii"/>
                <w:sz w:val="22"/>
                <w:szCs w:val="22"/>
                <w:highlight w:val="none"/>
                <w:lang w:val="en-US" w:eastAsia="zh-CN"/>
              </w:rPr>
              <w:t>中标人负责</w:t>
            </w:r>
            <w:r>
              <w:rPr>
                <w:rFonts w:hint="default" w:asciiTheme="minorAscii" w:hAnsiTheme="minorAscii"/>
                <w:sz w:val="22"/>
                <w:szCs w:val="22"/>
                <w:highlight w:val="none"/>
              </w:rPr>
              <w:t>保修期内</w:t>
            </w:r>
            <w:r>
              <w:rPr>
                <w:rFonts w:hint="eastAsia" w:asciiTheme="minorAscii" w:hAnsiTheme="minorAscii"/>
                <w:sz w:val="22"/>
                <w:szCs w:val="22"/>
                <w:highlight w:val="none"/>
                <w:lang w:val="en-US" w:eastAsia="zh-CN"/>
              </w:rPr>
              <w:t>的设备</w:t>
            </w:r>
            <w:r>
              <w:rPr>
                <w:rFonts w:hint="default" w:asciiTheme="minorAscii" w:hAnsiTheme="minorAscii"/>
                <w:sz w:val="22"/>
                <w:szCs w:val="22"/>
                <w:highlight w:val="none"/>
              </w:rPr>
              <w:t>维修</w:t>
            </w:r>
            <w:r>
              <w:rPr>
                <w:rFonts w:hint="eastAsia" w:asciiTheme="minorAscii" w:hAnsiTheme="minorAscii"/>
                <w:sz w:val="22"/>
                <w:szCs w:val="22"/>
                <w:highlight w:val="none"/>
                <w:lang w:val="en-US" w:eastAsia="zh-CN"/>
              </w:rPr>
              <w:t>费</w:t>
            </w:r>
            <w:r>
              <w:rPr>
                <w:rFonts w:hint="default" w:asciiTheme="minorAscii" w:hAnsiTheme="minorAscii"/>
                <w:sz w:val="22"/>
                <w:szCs w:val="22"/>
                <w:highlight w:val="none"/>
              </w:rPr>
              <w:t>、保养</w:t>
            </w:r>
            <w:r>
              <w:rPr>
                <w:rFonts w:hint="eastAsia" w:asciiTheme="minorAscii" w:hAnsiTheme="minorAscii"/>
                <w:sz w:val="22"/>
                <w:szCs w:val="22"/>
                <w:highlight w:val="none"/>
                <w:lang w:val="en-US" w:eastAsia="zh-CN"/>
              </w:rPr>
              <w:t>费</w:t>
            </w:r>
            <w:r>
              <w:rPr>
                <w:rFonts w:hint="eastAsia" w:asciiTheme="minorAscii" w:hAnsiTheme="minorAscii"/>
                <w:sz w:val="22"/>
                <w:szCs w:val="22"/>
                <w:highlight w:val="none"/>
                <w:lang w:eastAsia="zh-CN"/>
              </w:rPr>
              <w:t>、</w:t>
            </w:r>
            <w:r>
              <w:rPr>
                <w:rFonts w:hint="default" w:asciiTheme="minorAscii" w:hAnsiTheme="minorAscii"/>
                <w:sz w:val="22"/>
                <w:szCs w:val="22"/>
                <w:highlight w:val="none"/>
              </w:rPr>
              <w:t>更换所损部件</w:t>
            </w:r>
            <w:r>
              <w:rPr>
                <w:rFonts w:hint="eastAsia" w:asciiTheme="minorAscii" w:hAnsiTheme="minorAscii"/>
                <w:sz w:val="22"/>
                <w:szCs w:val="22"/>
                <w:highlight w:val="none"/>
                <w:lang w:val="en-US" w:eastAsia="zh-CN"/>
              </w:rPr>
              <w:t>费</w:t>
            </w:r>
            <w:r>
              <w:rPr>
                <w:rFonts w:hint="default" w:asciiTheme="minorAscii" w:hAnsiTheme="minorAscii"/>
                <w:sz w:val="22"/>
                <w:szCs w:val="22"/>
                <w:highlight w:val="none"/>
              </w:rPr>
              <w:t>，采购人不必再支付任何费用。</w:t>
            </w:r>
          </w:p>
          <w:p w14:paraId="74D31DF7">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default" w:asciiTheme="minorAscii" w:hAnsiTheme="minorAscii"/>
                <w:sz w:val="22"/>
                <w:szCs w:val="22"/>
                <w:highlight w:val="none"/>
              </w:rPr>
            </w:pPr>
            <w:r>
              <w:rPr>
                <w:rFonts w:hint="eastAsia" w:asciiTheme="minorAscii" w:hAnsiTheme="minorAscii"/>
                <w:sz w:val="22"/>
                <w:szCs w:val="22"/>
                <w:highlight w:val="none"/>
                <w:lang w:val="en-US" w:eastAsia="zh-CN"/>
              </w:rPr>
              <w:t>4</w:t>
            </w:r>
            <w:r>
              <w:rPr>
                <w:rFonts w:hint="default" w:asciiTheme="minorAscii" w:hAnsiTheme="minorAscii"/>
                <w:sz w:val="22"/>
                <w:szCs w:val="22"/>
                <w:highlight w:val="none"/>
              </w:rPr>
              <w:t>、维保服务响应：</w:t>
            </w:r>
          </w:p>
          <w:p w14:paraId="038A25B4">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default" w:asciiTheme="minorAscii" w:hAnsiTheme="minorAscii"/>
                <w:sz w:val="22"/>
                <w:szCs w:val="22"/>
                <w:highlight w:val="none"/>
              </w:rPr>
            </w:pPr>
            <w:r>
              <w:rPr>
                <w:rFonts w:hint="default" w:asciiTheme="minorAscii" w:hAnsiTheme="minorAscii"/>
                <w:sz w:val="22"/>
                <w:szCs w:val="22"/>
                <w:highlight w:val="none"/>
              </w:rPr>
              <w:t>1）热线服务：提供365天*24小时免费维修服务热线，电话响应时间≤</w:t>
            </w:r>
            <w:r>
              <w:rPr>
                <w:rFonts w:hint="eastAsia" w:asciiTheme="minorAscii" w:hAnsiTheme="minorAscii"/>
                <w:sz w:val="22"/>
                <w:szCs w:val="22"/>
                <w:highlight w:val="none"/>
                <w:lang w:val="en-US" w:eastAsia="zh-CN"/>
              </w:rPr>
              <w:t>1</w:t>
            </w:r>
            <w:r>
              <w:rPr>
                <w:rFonts w:hint="default" w:asciiTheme="minorAscii" w:hAnsiTheme="minorAscii"/>
                <w:sz w:val="22"/>
                <w:szCs w:val="22"/>
                <w:highlight w:val="none"/>
              </w:rPr>
              <w:t>小时，提供在线技术咨询和维修诊断。</w:t>
            </w:r>
          </w:p>
          <w:p w14:paraId="66837056">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default" w:asciiTheme="minorAscii" w:hAnsiTheme="minorAscii" w:eastAsiaTheme="minorEastAsia"/>
                <w:sz w:val="22"/>
                <w:szCs w:val="22"/>
                <w:highlight w:val="none"/>
                <w:lang w:val="en-US" w:eastAsia="zh-CN"/>
              </w:rPr>
            </w:pPr>
            <w:r>
              <w:rPr>
                <w:rFonts w:hint="default" w:asciiTheme="minorAscii" w:hAnsiTheme="minorAscii"/>
                <w:sz w:val="22"/>
                <w:szCs w:val="22"/>
                <w:highlight w:val="none"/>
              </w:rPr>
              <w:t>2）现场响应：接到维修要求后，到达现场响应时间≤</w:t>
            </w:r>
            <w:r>
              <w:rPr>
                <w:rFonts w:hint="eastAsia" w:asciiTheme="minorAscii" w:hAnsiTheme="minorAscii"/>
                <w:sz w:val="22"/>
                <w:szCs w:val="22"/>
                <w:highlight w:val="none"/>
                <w:lang w:val="en-US" w:eastAsia="zh-CN"/>
              </w:rPr>
              <w:t>24</w:t>
            </w:r>
            <w:r>
              <w:rPr>
                <w:rFonts w:hint="default" w:asciiTheme="minorAscii" w:hAnsiTheme="minorAscii"/>
                <w:sz w:val="22"/>
                <w:szCs w:val="22"/>
                <w:highlight w:val="none"/>
              </w:rPr>
              <w:t>小时，中标人负责维修人员的工时费、差旅费等一切费用。</w:t>
            </w:r>
            <w:r>
              <w:rPr>
                <w:rFonts w:hint="eastAsia" w:asciiTheme="minorAscii" w:hAnsiTheme="minorAscii"/>
                <w:sz w:val="22"/>
                <w:szCs w:val="22"/>
                <w:highlight w:val="none"/>
                <w:lang w:val="en-US" w:eastAsia="zh-CN"/>
              </w:rPr>
              <w:t>采购人享有优先派工的权利。</w:t>
            </w:r>
          </w:p>
          <w:p w14:paraId="7A48731D">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Theme="minorAscii" w:hAnsiTheme="minorAscii" w:eastAsiaTheme="minorEastAsia"/>
                <w:sz w:val="22"/>
                <w:szCs w:val="22"/>
                <w:lang w:val="en-US" w:eastAsia="zh-CN"/>
              </w:rPr>
            </w:pPr>
            <w:r>
              <w:rPr>
                <w:rFonts w:hint="eastAsia" w:asciiTheme="minorAscii" w:hAnsiTheme="minorAscii"/>
                <w:sz w:val="22"/>
                <w:szCs w:val="22"/>
                <w:lang w:val="en-US" w:eastAsia="zh-CN"/>
              </w:rPr>
              <w:t>5</w:t>
            </w:r>
            <w:r>
              <w:rPr>
                <w:rFonts w:hint="default" w:asciiTheme="minorAscii" w:hAnsiTheme="minorAscii"/>
                <w:sz w:val="22"/>
                <w:szCs w:val="22"/>
              </w:rPr>
              <w:t>、</w:t>
            </w:r>
            <w:r>
              <w:rPr>
                <w:rFonts w:hint="eastAsia" w:asciiTheme="minorAscii" w:hAnsiTheme="minorAscii"/>
                <w:sz w:val="22"/>
                <w:szCs w:val="22"/>
                <w:lang w:val="en-US" w:eastAsia="zh-CN"/>
              </w:rPr>
              <w:t>中标人在广东省内设有维修站，有具备飞利浦CT设备维修资质的工程师。</w:t>
            </w:r>
          </w:p>
          <w:p w14:paraId="59DC3F54">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default" w:asciiTheme="minorAscii" w:hAnsiTheme="minorAscii"/>
                <w:sz w:val="22"/>
                <w:szCs w:val="22"/>
              </w:rPr>
            </w:pPr>
            <w:r>
              <w:rPr>
                <w:rFonts w:hint="eastAsia" w:asciiTheme="minorAscii" w:hAnsiTheme="minorAscii"/>
                <w:sz w:val="22"/>
                <w:szCs w:val="22"/>
                <w:lang w:val="en-US" w:eastAsia="zh-CN"/>
              </w:rPr>
              <w:t>6</w:t>
            </w:r>
            <w:r>
              <w:rPr>
                <w:rFonts w:hint="default" w:asciiTheme="minorAscii" w:hAnsiTheme="minorAscii"/>
                <w:sz w:val="22"/>
                <w:szCs w:val="22"/>
              </w:rPr>
              <w:t>、维修过程中所更换的备件必须是原厂认证合格的零备件，备件有追踪号码，必须符合国家质量检测标准及相关法律法规。</w:t>
            </w:r>
            <w:r>
              <w:rPr>
                <w:rFonts w:hint="eastAsia" w:asciiTheme="minorAscii" w:hAnsiTheme="minorAscii"/>
                <w:sz w:val="22"/>
                <w:szCs w:val="22"/>
                <w:lang w:val="en-US" w:eastAsia="zh-CN"/>
              </w:rPr>
              <w:t>中标人</w:t>
            </w:r>
            <w:r>
              <w:rPr>
                <w:rFonts w:hint="default" w:asciiTheme="minorAscii" w:hAnsiTheme="minorAscii"/>
                <w:sz w:val="22"/>
                <w:szCs w:val="22"/>
              </w:rPr>
              <w:t>保障不会对设备质量或图像产生不良影响。提供保修所需的备件供应及时、充足。如因提供不合法不合规或来路不明的备件而引起的相关损失及法律责任由</w:t>
            </w:r>
            <w:r>
              <w:rPr>
                <w:rFonts w:hint="eastAsia" w:asciiTheme="minorAscii" w:hAnsiTheme="minorAscii"/>
                <w:sz w:val="22"/>
                <w:szCs w:val="22"/>
                <w:lang w:val="en-US" w:eastAsia="zh-CN"/>
              </w:rPr>
              <w:t>中标人</w:t>
            </w:r>
            <w:r>
              <w:rPr>
                <w:rFonts w:hint="default" w:asciiTheme="minorAscii" w:hAnsiTheme="minorAscii"/>
                <w:sz w:val="22"/>
                <w:szCs w:val="22"/>
              </w:rPr>
              <w:t>自行承担。</w:t>
            </w:r>
          </w:p>
          <w:p w14:paraId="58484D9E">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default" w:asciiTheme="minorAscii" w:hAnsiTheme="minorAscii"/>
                <w:sz w:val="22"/>
                <w:szCs w:val="22"/>
              </w:rPr>
            </w:pPr>
            <w:r>
              <w:rPr>
                <w:rFonts w:hint="eastAsia" w:asciiTheme="minorAscii" w:hAnsiTheme="minorAscii"/>
                <w:sz w:val="22"/>
                <w:szCs w:val="22"/>
                <w:lang w:val="en-US" w:eastAsia="zh-CN"/>
              </w:rPr>
              <w:t>7</w:t>
            </w:r>
            <w:r>
              <w:rPr>
                <w:rFonts w:hint="default" w:asciiTheme="minorAscii" w:hAnsiTheme="minorAscii"/>
                <w:sz w:val="22"/>
                <w:szCs w:val="22"/>
              </w:rPr>
              <w:t>、中标人能合法获得使用在有效期内的原厂故障诊断软件诊断维修钥匙，并保证不违反国家有关知识产权的法律规定。</w:t>
            </w:r>
          </w:p>
          <w:p w14:paraId="462A6F99">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default" w:asciiTheme="minorAscii" w:hAnsiTheme="minorAscii"/>
                <w:sz w:val="22"/>
                <w:szCs w:val="22"/>
              </w:rPr>
            </w:pPr>
            <w:r>
              <w:rPr>
                <w:rFonts w:hint="eastAsia" w:asciiTheme="minorAscii" w:hAnsiTheme="minorAscii"/>
                <w:sz w:val="22"/>
                <w:szCs w:val="22"/>
                <w:lang w:val="en-US" w:eastAsia="zh-CN"/>
              </w:rPr>
              <w:t>8、远程连接：中标人需提供基于设备嵌入式远程连接方案的实时远程服务，在采购人允许的情况下可以接入设备，以保证维修的及时性。且该远程服务可以实现远程不断监控和保护医疗设备，及时发出预警，在出现故障之前，就可对其进行远程维护和处理，以减少设备停机时间，提高设备使用率；基于设备嵌入式远程连接方案投标服务商需符合HIPAA和NEMA安全要求，并且通过ISO27001国际信息安全管理体系。</w:t>
            </w:r>
          </w:p>
          <w:p w14:paraId="722DD2F1">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default" w:asciiTheme="minorAscii" w:hAnsiTheme="minorAscii" w:eastAsiaTheme="minorEastAsia"/>
                <w:sz w:val="22"/>
                <w:szCs w:val="22"/>
                <w:lang w:val="en-US" w:eastAsia="zh-CN"/>
              </w:rPr>
            </w:pPr>
            <w:r>
              <w:rPr>
                <w:rFonts w:hint="eastAsia" w:asciiTheme="minorAscii" w:hAnsiTheme="minorAscii"/>
                <w:sz w:val="22"/>
                <w:szCs w:val="22"/>
                <w:lang w:val="en-US" w:eastAsia="zh-CN"/>
              </w:rPr>
              <w:t>9、中标人</w:t>
            </w:r>
            <w:r>
              <w:rPr>
                <w:rFonts w:hint="default" w:asciiTheme="minorAscii" w:hAnsiTheme="minorAscii"/>
                <w:sz w:val="22"/>
                <w:szCs w:val="22"/>
              </w:rPr>
              <w:t>保证维修后的技术参数与原机数据相同。</w:t>
            </w:r>
          </w:p>
          <w:p w14:paraId="714F3FFA">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default" w:asciiTheme="minorAscii" w:hAnsiTheme="minorAscii"/>
                <w:sz w:val="22"/>
                <w:szCs w:val="22"/>
              </w:rPr>
            </w:pPr>
            <w:r>
              <w:rPr>
                <w:rFonts w:hint="eastAsia" w:asciiTheme="minorAscii" w:hAnsiTheme="minorAscii"/>
                <w:sz w:val="22"/>
                <w:szCs w:val="22"/>
                <w:lang w:val="en-US" w:eastAsia="zh-CN"/>
              </w:rPr>
              <w:t>10</w:t>
            </w:r>
            <w:r>
              <w:rPr>
                <w:rFonts w:hint="default" w:asciiTheme="minorAscii" w:hAnsiTheme="minorAscii"/>
                <w:sz w:val="22"/>
                <w:szCs w:val="22"/>
              </w:rPr>
              <w:t>、维保期内免费提供设备的系统软件和硬件的安全性改版升级和技术支持，并保证所有系统软件为适用于本合同涉及的所有设备使用的最新版本。</w:t>
            </w:r>
          </w:p>
          <w:p w14:paraId="26275F42">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Theme="minorAscii" w:hAnsiTheme="minorAscii"/>
                <w:sz w:val="22"/>
                <w:szCs w:val="22"/>
              </w:rPr>
            </w:pPr>
            <w:r>
              <w:rPr>
                <w:rFonts w:hint="eastAsia" w:asciiTheme="minorAscii" w:hAnsiTheme="minorAscii"/>
                <w:sz w:val="22"/>
                <w:szCs w:val="22"/>
                <w:lang w:val="en-US" w:eastAsia="zh-CN"/>
              </w:rPr>
              <w:t>11</w:t>
            </w:r>
            <w:r>
              <w:rPr>
                <w:rFonts w:hint="default" w:asciiTheme="minorAscii" w:hAnsiTheme="minorAscii"/>
                <w:sz w:val="22"/>
                <w:szCs w:val="22"/>
              </w:rPr>
              <w:t>、保证所保设备全年工作日的开机率至少达到95%以上，按照一年365个工作日计算。</w:t>
            </w:r>
            <w:r>
              <w:rPr>
                <w:rFonts w:hint="eastAsia" w:asciiTheme="minorAscii" w:hAnsiTheme="minorAscii"/>
                <w:sz w:val="22"/>
                <w:szCs w:val="22"/>
              </w:rPr>
              <w:t xml:space="preserve">在合同期内保证 95%的开机率按一年 </w:t>
            </w:r>
            <w:r>
              <w:rPr>
                <w:rFonts w:hint="default" w:asciiTheme="minorAscii" w:hAnsiTheme="minorAscii"/>
                <w:sz w:val="22"/>
                <w:szCs w:val="22"/>
              </w:rPr>
              <w:t>365</w:t>
            </w:r>
            <w:r>
              <w:rPr>
                <w:rFonts w:hint="eastAsia" w:asciiTheme="minorAscii" w:hAnsiTheme="minorAscii"/>
                <w:sz w:val="22"/>
                <w:szCs w:val="22"/>
              </w:rPr>
              <w:t>个日历日计算。如果此开机率由于</w:t>
            </w:r>
            <w:r>
              <w:rPr>
                <w:rFonts w:hint="eastAsia" w:asciiTheme="minorAscii" w:hAnsiTheme="minorAscii"/>
                <w:sz w:val="22"/>
                <w:szCs w:val="22"/>
                <w:lang w:eastAsia="zh-CN"/>
              </w:rPr>
              <w:t>中标人</w:t>
            </w:r>
            <w:r>
              <w:rPr>
                <w:rFonts w:hint="eastAsia" w:asciiTheme="minorAscii" w:hAnsiTheme="minorAscii"/>
                <w:sz w:val="22"/>
                <w:szCs w:val="22"/>
              </w:rPr>
              <w:t>的原因未能达到，按 1：</w:t>
            </w:r>
            <w:r>
              <w:rPr>
                <w:rFonts w:hint="default" w:asciiTheme="minorAscii" w:hAnsiTheme="minorAscii"/>
                <w:sz w:val="22"/>
                <w:szCs w:val="22"/>
              </w:rPr>
              <w:t>5</w:t>
            </w:r>
            <w:r>
              <w:rPr>
                <w:rFonts w:hint="eastAsia" w:asciiTheme="minorAscii" w:hAnsiTheme="minorAscii"/>
                <w:sz w:val="22"/>
                <w:szCs w:val="22"/>
              </w:rPr>
              <w:t xml:space="preserve"> 比例顺延保修期时间（即按天算、开机日每降低 1 个日历日，保修期顺延 </w:t>
            </w:r>
            <w:r>
              <w:rPr>
                <w:rFonts w:hint="default" w:asciiTheme="minorAscii" w:hAnsiTheme="minorAscii"/>
                <w:sz w:val="22"/>
                <w:szCs w:val="22"/>
              </w:rPr>
              <w:t>5</w:t>
            </w:r>
            <w:r>
              <w:rPr>
                <w:rFonts w:hint="eastAsia" w:asciiTheme="minorAscii" w:hAnsiTheme="minorAscii"/>
                <w:sz w:val="22"/>
                <w:szCs w:val="22"/>
              </w:rPr>
              <w:t xml:space="preserve"> 个日历日）</w:t>
            </w:r>
          </w:p>
          <w:p w14:paraId="6C35E5FD">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default" w:asciiTheme="minorAscii" w:hAnsiTheme="minorAscii" w:eastAsiaTheme="minorEastAsia"/>
                <w:sz w:val="22"/>
                <w:szCs w:val="22"/>
                <w:highlight w:val="none"/>
                <w:lang w:val="en-US" w:eastAsia="zh-CN"/>
              </w:rPr>
            </w:pPr>
            <w:r>
              <w:rPr>
                <w:rFonts w:hint="eastAsia" w:asciiTheme="minorAscii" w:hAnsiTheme="minorAscii"/>
                <w:sz w:val="22"/>
                <w:szCs w:val="22"/>
                <w:highlight w:val="none"/>
                <w:lang w:val="en-US" w:eastAsia="zh-CN"/>
              </w:rPr>
              <w:t>12、中标人具有符合ISO9001质量管理体系以及 ISO13485 医疗器械质量管理体系认证以及辐射许可证证书。</w:t>
            </w:r>
          </w:p>
          <w:p w14:paraId="454F5758"/>
        </w:tc>
      </w:tr>
      <w:tr w14:paraId="015AF347">
        <w:tblPrEx>
          <w:tblCellMar>
            <w:top w:w="0" w:type="dxa"/>
            <w:left w:w="108" w:type="dxa"/>
            <w:bottom w:w="0" w:type="dxa"/>
            <w:right w:w="108" w:type="dxa"/>
          </w:tblCellMar>
        </w:tblPrEx>
        <w:trPr>
          <w:trHeight w:val="555" w:hRule="atLeast"/>
        </w:trPr>
        <w:tc>
          <w:tcPr>
            <w:tcW w:w="1020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7F30878">
            <w:pPr>
              <w:widowControl/>
              <w:jc w:val="left"/>
              <w:rPr>
                <w:rFonts w:ascii="等线" w:hAnsi="等线" w:eastAsia="等线" w:cs="宋体"/>
                <w:color w:val="000000"/>
                <w:kern w:val="0"/>
                <w:sz w:val="22"/>
              </w:rPr>
            </w:pPr>
            <w:r>
              <w:rPr>
                <w:rFonts w:hint="eastAsia" w:ascii="等线" w:hAnsi="等线" w:eastAsia="等线" w:cs="宋体"/>
                <w:color w:val="000000"/>
                <w:kern w:val="0"/>
                <w:sz w:val="22"/>
              </w:rPr>
              <w:t>二、配置要求</w:t>
            </w:r>
          </w:p>
        </w:tc>
      </w:tr>
      <w:tr w14:paraId="7F5801A5">
        <w:tblPrEx>
          <w:tblCellMar>
            <w:top w:w="0" w:type="dxa"/>
            <w:left w:w="108" w:type="dxa"/>
            <w:bottom w:w="0" w:type="dxa"/>
            <w:right w:w="108" w:type="dxa"/>
          </w:tblCellMar>
        </w:tblPrEx>
        <w:trPr>
          <w:trHeight w:val="555" w:hRule="atLeast"/>
        </w:trPr>
        <w:tc>
          <w:tcPr>
            <w:tcW w:w="10206" w:type="dxa"/>
            <w:gridSpan w:val="2"/>
            <w:tcBorders>
              <w:top w:val="nil"/>
              <w:left w:val="single" w:color="auto" w:sz="4" w:space="0"/>
              <w:bottom w:val="single" w:color="auto" w:sz="4" w:space="0"/>
              <w:right w:val="single" w:color="auto" w:sz="4" w:space="0"/>
            </w:tcBorders>
            <w:shd w:val="clear" w:color="auto" w:fill="auto"/>
            <w:vAlign w:val="center"/>
          </w:tcPr>
          <w:p w14:paraId="5F1EA2F7">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val="en-US" w:eastAsia="zh-CN"/>
              </w:rPr>
              <w:t>无</w:t>
            </w:r>
          </w:p>
        </w:tc>
      </w:tr>
      <w:tr w14:paraId="03DB09F9">
        <w:tblPrEx>
          <w:tblCellMar>
            <w:top w:w="0" w:type="dxa"/>
            <w:left w:w="108" w:type="dxa"/>
            <w:bottom w:w="0" w:type="dxa"/>
            <w:right w:w="108" w:type="dxa"/>
          </w:tblCellMar>
        </w:tblPrEx>
        <w:trPr>
          <w:trHeight w:val="555" w:hRule="atLeast"/>
        </w:trPr>
        <w:tc>
          <w:tcPr>
            <w:tcW w:w="10206" w:type="dxa"/>
            <w:gridSpan w:val="2"/>
            <w:tcBorders>
              <w:top w:val="nil"/>
              <w:left w:val="single" w:color="auto" w:sz="4" w:space="0"/>
              <w:bottom w:val="single" w:color="auto" w:sz="4" w:space="0"/>
              <w:right w:val="single" w:color="auto" w:sz="4" w:space="0"/>
            </w:tcBorders>
            <w:shd w:val="clear" w:color="auto" w:fill="auto"/>
            <w:vAlign w:val="center"/>
          </w:tcPr>
          <w:p w14:paraId="2D98625C">
            <w:pPr>
              <w:widowControl/>
              <w:jc w:val="left"/>
              <w:rPr>
                <w:rFonts w:ascii="等线" w:hAnsi="等线" w:eastAsia="等线" w:cs="宋体"/>
                <w:color w:val="000000"/>
                <w:kern w:val="0"/>
                <w:sz w:val="22"/>
              </w:rPr>
            </w:pPr>
            <w:r>
              <w:rPr>
                <w:rFonts w:hint="eastAsia" w:ascii="等线" w:hAnsi="等线" w:eastAsia="等线" w:cs="宋体"/>
                <w:color w:val="000000"/>
                <w:kern w:val="0"/>
                <w:sz w:val="22"/>
              </w:rPr>
              <w:t>三、商务要求</w:t>
            </w:r>
          </w:p>
        </w:tc>
      </w:tr>
      <w:tr w14:paraId="1933BBCA">
        <w:tblPrEx>
          <w:tblCellMar>
            <w:top w:w="0" w:type="dxa"/>
            <w:left w:w="108" w:type="dxa"/>
            <w:bottom w:w="0" w:type="dxa"/>
            <w:right w:w="108" w:type="dxa"/>
          </w:tblCellMar>
        </w:tblPrEx>
        <w:trPr>
          <w:trHeight w:val="555" w:hRule="atLeast"/>
        </w:trPr>
        <w:tc>
          <w:tcPr>
            <w:tcW w:w="10206" w:type="dxa"/>
            <w:gridSpan w:val="2"/>
            <w:tcBorders>
              <w:top w:val="nil"/>
              <w:left w:val="single" w:color="auto" w:sz="4" w:space="0"/>
              <w:bottom w:val="single" w:color="auto" w:sz="4" w:space="0"/>
              <w:right w:val="single" w:color="auto" w:sz="4" w:space="0"/>
            </w:tcBorders>
            <w:shd w:val="clear" w:color="auto" w:fill="auto"/>
            <w:vAlign w:val="center"/>
          </w:tcPr>
          <w:p w14:paraId="7410D71D">
            <w:pPr>
              <w:widowControl/>
              <w:numPr>
                <w:ilvl w:val="0"/>
                <w:numId w:val="0"/>
              </w:numPr>
              <w:ind w:firstLine="440" w:firstLineChars="200"/>
              <w:jc w:val="left"/>
              <w:rPr>
                <w:rFonts w:ascii="等线" w:hAnsi="等线" w:eastAsia="等线" w:cs="宋体"/>
                <w:iCs/>
                <w:color w:val="auto"/>
                <w:kern w:val="0"/>
                <w:sz w:val="22"/>
                <w:highlight w:val="none"/>
              </w:rPr>
            </w:pPr>
            <w:r>
              <w:rPr>
                <w:rFonts w:ascii="等线" w:hAnsi="等线" w:eastAsia="等线" w:cs="宋体"/>
                <w:iCs/>
                <w:color w:val="auto"/>
                <w:kern w:val="0"/>
                <w:sz w:val="22"/>
                <w:szCs w:val="22"/>
                <w:lang w:val="en-US" w:eastAsia="zh-CN" w:bidi="ar-SA"/>
              </w:rPr>
              <w:t>1</w:t>
            </w:r>
            <w:r>
              <w:rPr>
                <w:rFonts w:hint="eastAsia" w:ascii="等线" w:hAnsi="等线" w:eastAsia="等线" w:cs="宋体"/>
                <w:iCs/>
                <w:color w:val="auto"/>
                <w:kern w:val="0"/>
                <w:sz w:val="22"/>
                <w:szCs w:val="22"/>
                <w:lang w:val="en-US" w:eastAsia="zh-CN" w:bidi="ar-SA"/>
              </w:rPr>
              <w:t>.</w:t>
            </w:r>
            <w:r>
              <w:rPr>
                <w:rFonts w:hint="eastAsia" w:ascii="等线" w:hAnsi="等线" w:eastAsia="等线" w:cs="宋体"/>
                <w:iCs/>
                <w:color w:val="auto"/>
                <w:kern w:val="0"/>
                <w:sz w:val="22"/>
              </w:rPr>
              <w:t>维保服务时间</w:t>
            </w:r>
            <w:r>
              <w:rPr>
                <w:rFonts w:hint="eastAsia" w:ascii="等线" w:hAnsi="等线" w:eastAsia="等线" w:cs="宋体"/>
                <w:iCs/>
                <w:color w:val="auto"/>
                <w:kern w:val="0"/>
                <w:sz w:val="22"/>
                <w:highlight w:val="none"/>
              </w:rPr>
              <w:t>：</w:t>
            </w:r>
            <w:r>
              <w:rPr>
                <w:rFonts w:hint="eastAsia" w:ascii="等线" w:hAnsi="等线" w:eastAsia="等线" w:cs="宋体"/>
                <w:iCs/>
                <w:color w:val="auto"/>
                <w:kern w:val="0"/>
                <w:sz w:val="22"/>
                <w:highlight w:val="none"/>
                <w:lang w:val="en-US" w:eastAsia="zh-CN"/>
              </w:rPr>
              <w:t>3</w:t>
            </w:r>
            <w:r>
              <w:rPr>
                <w:rFonts w:hint="eastAsia" w:ascii="等线" w:hAnsi="等线" w:eastAsia="等线" w:cs="宋体"/>
                <w:iCs/>
                <w:color w:val="auto"/>
                <w:kern w:val="0"/>
                <w:sz w:val="22"/>
                <w:highlight w:val="none"/>
              </w:rPr>
              <w:t>年。</w:t>
            </w:r>
          </w:p>
          <w:p w14:paraId="119D764F">
            <w:pPr>
              <w:widowControl/>
              <w:numPr>
                <w:ilvl w:val="0"/>
                <w:numId w:val="0"/>
              </w:numPr>
              <w:ind w:firstLine="440" w:firstLineChars="200"/>
              <w:jc w:val="left"/>
              <w:rPr>
                <w:rFonts w:ascii="等线" w:hAnsi="等线" w:eastAsia="等线" w:cs="宋体"/>
                <w:iCs/>
                <w:color w:val="auto"/>
                <w:kern w:val="0"/>
                <w:sz w:val="22"/>
                <w:highlight w:val="none"/>
              </w:rPr>
            </w:pPr>
            <w:r>
              <w:rPr>
                <w:rFonts w:ascii="等线" w:hAnsi="等线" w:eastAsia="等线" w:cs="宋体"/>
                <w:iCs/>
                <w:color w:val="auto"/>
                <w:kern w:val="0"/>
                <w:sz w:val="22"/>
                <w:szCs w:val="22"/>
                <w:highlight w:val="none"/>
                <w:lang w:val="en-US" w:eastAsia="zh-CN" w:bidi="ar-SA"/>
              </w:rPr>
              <w:t>2</w:t>
            </w:r>
            <w:r>
              <w:rPr>
                <w:rFonts w:hint="eastAsia" w:ascii="等线" w:hAnsi="等线" w:eastAsia="等线" w:cs="宋体"/>
                <w:iCs/>
                <w:color w:val="auto"/>
                <w:kern w:val="0"/>
                <w:sz w:val="22"/>
                <w:szCs w:val="22"/>
                <w:highlight w:val="none"/>
                <w:lang w:val="en-US" w:eastAsia="zh-CN" w:bidi="ar-SA"/>
              </w:rPr>
              <w:t>.</w:t>
            </w:r>
            <w:r>
              <w:rPr>
                <w:rFonts w:hint="eastAsia" w:ascii="等线" w:hAnsi="等线" w:eastAsia="等线" w:cs="宋体"/>
                <w:iCs/>
                <w:color w:val="auto"/>
                <w:kern w:val="0"/>
                <w:sz w:val="22"/>
                <w:highlight w:val="none"/>
              </w:rPr>
              <w:t>服务地点：</w:t>
            </w:r>
            <w:r>
              <w:rPr>
                <w:rFonts w:hint="eastAsia" w:ascii="等线" w:hAnsi="等线" w:eastAsia="等线" w:cs="宋体"/>
                <w:iCs/>
                <w:color w:val="auto"/>
                <w:kern w:val="0"/>
                <w:sz w:val="22"/>
                <w:highlight w:val="none"/>
                <w:lang w:val="en-US" w:eastAsia="zh-CN"/>
              </w:rPr>
              <w:t>中山市中医院使用科室</w:t>
            </w:r>
            <w:r>
              <w:rPr>
                <w:rFonts w:hint="eastAsia" w:ascii="等线" w:hAnsi="等线" w:eastAsia="等线" w:cs="宋体"/>
                <w:iCs/>
                <w:color w:val="auto"/>
                <w:kern w:val="0"/>
                <w:sz w:val="22"/>
                <w:highlight w:val="none"/>
              </w:rPr>
              <w:t>。</w:t>
            </w:r>
          </w:p>
          <w:p w14:paraId="68A4729C">
            <w:pPr>
              <w:widowControl/>
              <w:numPr>
                <w:ilvl w:val="0"/>
                <w:numId w:val="0"/>
              </w:numPr>
              <w:ind w:firstLine="440" w:firstLineChars="200"/>
              <w:jc w:val="left"/>
              <w:rPr>
                <w:rFonts w:ascii="等线" w:hAnsi="等线" w:eastAsia="等线" w:cs="宋体"/>
                <w:iCs/>
                <w:color w:val="auto"/>
                <w:kern w:val="0"/>
                <w:sz w:val="22"/>
              </w:rPr>
            </w:pPr>
            <w:r>
              <w:rPr>
                <w:rFonts w:ascii="等线" w:hAnsi="等线" w:eastAsia="等线" w:cs="宋体"/>
                <w:iCs/>
                <w:color w:val="auto"/>
                <w:kern w:val="0"/>
                <w:sz w:val="22"/>
                <w:szCs w:val="22"/>
                <w:lang w:val="en-US" w:eastAsia="zh-CN" w:bidi="ar-SA"/>
              </w:rPr>
              <w:t>3</w:t>
            </w:r>
            <w:r>
              <w:rPr>
                <w:rFonts w:hint="eastAsia" w:ascii="等线" w:hAnsi="等线" w:eastAsia="等线" w:cs="宋体"/>
                <w:iCs/>
                <w:color w:val="auto"/>
                <w:kern w:val="0"/>
                <w:sz w:val="22"/>
                <w:szCs w:val="22"/>
                <w:lang w:val="en-US" w:eastAsia="zh-CN" w:bidi="ar-SA"/>
              </w:rPr>
              <w:t>.</w:t>
            </w:r>
            <w:r>
              <w:rPr>
                <w:rFonts w:hint="eastAsia" w:ascii="等线" w:hAnsi="等线" w:eastAsia="等线" w:cs="宋体"/>
                <w:iCs/>
                <w:color w:val="auto"/>
                <w:kern w:val="0"/>
                <w:sz w:val="22"/>
              </w:rPr>
              <w:t>付款方式：</w:t>
            </w:r>
          </w:p>
          <w:p w14:paraId="48E8EB09">
            <w:pPr>
              <w:keepNext w:val="0"/>
              <w:keepLines w:val="0"/>
              <w:pageBreakBefore w:val="0"/>
              <w:widowControl/>
              <w:numPr>
                <w:ilvl w:val="0"/>
                <w:numId w:val="0"/>
              </w:numPr>
              <w:kinsoku/>
              <w:wordWrap/>
              <w:overflowPunct/>
              <w:topLinePunct w:val="0"/>
              <w:autoSpaceDE/>
              <w:autoSpaceDN/>
              <w:bidi w:val="0"/>
              <w:adjustRightInd/>
              <w:snapToGrid/>
              <w:ind w:firstLine="440" w:firstLineChars="200"/>
              <w:jc w:val="left"/>
              <w:textAlignment w:val="auto"/>
              <w:rPr>
                <w:rFonts w:hint="eastAsia" w:ascii="等线" w:hAnsi="等线" w:eastAsia="等线" w:cs="宋体"/>
                <w:iCs/>
                <w:color w:val="auto"/>
                <w:kern w:val="0"/>
                <w:sz w:val="22"/>
                <w:lang w:eastAsia="zh-CN"/>
              </w:rPr>
            </w:pPr>
            <w:r>
              <w:rPr>
                <w:rFonts w:hint="eastAsia" w:ascii="等线" w:hAnsi="等线" w:eastAsia="等线" w:cs="宋体"/>
                <w:iCs/>
                <w:color w:val="auto"/>
                <w:kern w:val="0"/>
                <w:sz w:val="22"/>
                <w:lang w:val="en-US" w:eastAsia="zh-CN"/>
              </w:rPr>
              <w:t>3.1</w:t>
            </w:r>
            <w:r>
              <w:rPr>
                <w:rFonts w:hint="eastAsia" w:ascii="等线" w:hAnsi="等线" w:eastAsia="等线" w:cs="宋体"/>
                <w:iCs/>
                <w:color w:val="auto"/>
                <w:kern w:val="0"/>
                <w:sz w:val="22"/>
              </w:rPr>
              <w:t>维保服务费用</w:t>
            </w:r>
            <w:r>
              <w:rPr>
                <w:rFonts w:hint="eastAsia" w:ascii="等线" w:hAnsi="等线" w:eastAsia="等线" w:cs="宋体"/>
                <w:iCs/>
                <w:color w:val="auto"/>
                <w:kern w:val="0"/>
                <w:sz w:val="22"/>
                <w:lang w:eastAsia="zh-CN"/>
              </w:rPr>
              <w:t>：先维保服务后付款，按</w:t>
            </w:r>
            <w:r>
              <w:rPr>
                <w:rFonts w:hint="eastAsia" w:ascii="等线" w:hAnsi="等线" w:eastAsia="等线" w:cs="宋体"/>
                <w:iCs/>
                <w:color w:val="auto"/>
                <w:kern w:val="0"/>
                <w:sz w:val="22"/>
                <w:lang w:val="en-US" w:eastAsia="zh-CN"/>
              </w:rPr>
              <w:t>半年为一期</w:t>
            </w:r>
            <w:r>
              <w:rPr>
                <w:rFonts w:hint="eastAsia" w:ascii="等线" w:hAnsi="等线" w:eastAsia="等线" w:cs="宋体"/>
                <w:iCs/>
                <w:color w:val="auto"/>
                <w:kern w:val="0"/>
                <w:sz w:val="22"/>
                <w:lang w:eastAsia="zh-CN"/>
              </w:rPr>
              <w:t>支付</w:t>
            </w:r>
            <w:r>
              <w:rPr>
                <w:rFonts w:hint="eastAsia" w:ascii="等线" w:hAnsi="等线" w:eastAsia="等线" w:cs="宋体"/>
                <w:iCs/>
                <w:color w:val="auto"/>
                <w:kern w:val="0"/>
                <w:sz w:val="22"/>
              </w:rPr>
              <w:t>。维保结束后，中标人提供（1）当期金额合规发票（2）维护保养报告。</w:t>
            </w:r>
            <w:r>
              <w:rPr>
                <w:rFonts w:hint="default" w:ascii="等线" w:hAnsi="等线" w:eastAsia="等线" w:cs="等线"/>
                <w:kern w:val="2"/>
                <w:sz w:val="21"/>
                <w:szCs w:val="21"/>
                <w:lang w:val="en-US" w:eastAsia="zh-CN" w:bidi="ar-SA"/>
              </w:rPr>
              <w:t>采购人根据考核等级30天内支付款项。（考核分为A、B、C、D四级，A≥95分，90分≤B&lt;95分，85分≤C&lt;90分，D&lt;85分。），以每期的维保费为基数，按比例支付维保费：A级不扣罚；B级扣罚当期1%服务费：C级扣罚当期3%服务费；D级扣罚当期5%服务费。连续两次考核为D级的，除扣罚服务费外，乙方应按连续考核第二次D级当期服务费金额的10%向甲方支付违约金，且甲方有权单方面终止本合同。</w:t>
            </w:r>
            <w:r>
              <w:rPr>
                <w:rFonts w:hint="eastAsia" w:ascii="等线" w:hAnsi="等线" w:eastAsia="等线" w:cs="宋体"/>
                <w:iCs/>
                <w:color w:val="auto"/>
                <w:kern w:val="0"/>
                <w:sz w:val="22"/>
              </w:rPr>
              <w:t>如设备在保修期内</w:t>
            </w:r>
            <w:r>
              <w:rPr>
                <w:rFonts w:hint="eastAsia" w:asciiTheme="minorAscii" w:hAnsiTheme="minorAscii"/>
                <w:sz w:val="22"/>
                <w:szCs w:val="22"/>
                <w:lang w:val="en-US" w:eastAsia="zh-CN"/>
              </w:rPr>
              <w:t>产生内容</w:t>
            </w:r>
            <w:r>
              <w:rPr>
                <w:rFonts w:hint="eastAsia" w:ascii="等线" w:hAnsi="等线" w:eastAsia="等线" w:cs="宋体"/>
                <w:iCs/>
                <w:color w:val="auto"/>
                <w:kern w:val="0"/>
                <w:sz w:val="22"/>
                <w:lang w:val="en-US" w:eastAsia="zh-CN"/>
              </w:rPr>
              <w:t>变更情况</w:t>
            </w:r>
            <w:r>
              <w:rPr>
                <w:rFonts w:hint="eastAsia" w:ascii="等线" w:hAnsi="等线" w:eastAsia="等线" w:cs="宋体"/>
                <w:iCs/>
                <w:color w:val="auto"/>
                <w:kern w:val="0"/>
                <w:sz w:val="22"/>
              </w:rPr>
              <w:t>，剩余未执行保修时间按实际天数进行核减。</w:t>
            </w:r>
          </w:p>
          <w:p w14:paraId="65BCD66A">
            <w:pPr>
              <w:widowControl/>
              <w:numPr>
                <w:ilvl w:val="0"/>
                <w:numId w:val="0"/>
              </w:numPr>
              <w:ind w:firstLine="440" w:firstLineChars="200"/>
              <w:jc w:val="left"/>
              <w:rPr>
                <w:rFonts w:ascii="等线" w:hAnsi="等线" w:eastAsia="等线" w:cs="宋体"/>
                <w:iCs/>
                <w:color w:val="auto"/>
                <w:kern w:val="0"/>
                <w:sz w:val="22"/>
              </w:rPr>
            </w:pPr>
            <w:r>
              <w:rPr>
                <w:rFonts w:ascii="等线" w:hAnsi="等线" w:eastAsia="等线" w:cs="宋体"/>
                <w:iCs/>
                <w:color w:val="auto"/>
                <w:kern w:val="0"/>
                <w:sz w:val="22"/>
                <w:szCs w:val="22"/>
                <w:lang w:val="en-US" w:eastAsia="zh-CN" w:bidi="ar-SA"/>
              </w:rPr>
              <w:t>4</w:t>
            </w:r>
            <w:r>
              <w:rPr>
                <w:rFonts w:hint="eastAsia" w:ascii="等线" w:hAnsi="等线" w:eastAsia="等线" w:cs="宋体"/>
                <w:iCs/>
                <w:color w:val="auto"/>
                <w:kern w:val="0"/>
                <w:sz w:val="22"/>
                <w:szCs w:val="22"/>
                <w:lang w:val="en-US" w:eastAsia="zh-CN" w:bidi="ar-SA"/>
              </w:rPr>
              <w:t>.</w:t>
            </w:r>
            <w:r>
              <w:rPr>
                <w:rFonts w:hint="eastAsia" w:ascii="等线" w:hAnsi="等线" w:eastAsia="等线" w:cs="宋体"/>
                <w:iCs/>
                <w:color w:val="auto"/>
                <w:kern w:val="0"/>
                <w:sz w:val="22"/>
              </w:rPr>
              <w:t>原制造厂商或原厂指定的维修授权单位或有技术合作协议。</w:t>
            </w:r>
          </w:p>
          <w:p w14:paraId="55CD0C63">
            <w:pPr>
              <w:widowControl/>
              <w:numPr>
                <w:ilvl w:val="0"/>
                <w:numId w:val="0"/>
              </w:numPr>
              <w:ind w:firstLine="440" w:firstLineChars="200"/>
              <w:jc w:val="left"/>
              <w:rPr>
                <w:rFonts w:ascii="等线" w:hAnsi="等线" w:eastAsia="等线" w:cs="宋体"/>
                <w:iCs/>
                <w:color w:val="auto"/>
                <w:kern w:val="0"/>
                <w:sz w:val="22"/>
              </w:rPr>
            </w:pPr>
            <w:r>
              <w:rPr>
                <w:rFonts w:ascii="等线" w:hAnsi="等线" w:eastAsia="等线" w:cs="宋体"/>
                <w:iCs/>
                <w:color w:val="auto"/>
                <w:kern w:val="0"/>
                <w:sz w:val="22"/>
                <w:szCs w:val="22"/>
                <w:lang w:val="en-US" w:eastAsia="zh-CN" w:bidi="ar-SA"/>
              </w:rPr>
              <w:t>5</w:t>
            </w:r>
            <w:r>
              <w:rPr>
                <w:rFonts w:hint="eastAsia" w:ascii="等线" w:hAnsi="等线" w:eastAsia="等线" w:cs="宋体"/>
                <w:iCs/>
                <w:color w:val="auto"/>
                <w:kern w:val="0"/>
                <w:sz w:val="22"/>
                <w:szCs w:val="22"/>
                <w:lang w:val="en-US" w:eastAsia="zh-CN" w:bidi="ar-SA"/>
              </w:rPr>
              <w:t>.</w:t>
            </w:r>
            <w:r>
              <w:rPr>
                <w:rFonts w:hint="eastAsia" w:ascii="等线" w:hAnsi="等线" w:eastAsia="等线" w:cs="宋体"/>
                <w:iCs/>
                <w:color w:val="auto"/>
                <w:kern w:val="0"/>
                <w:sz w:val="22"/>
              </w:rPr>
              <w:t>维修备件是原厂备件。</w:t>
            </w:r>
          </w:p>
          <w:p w14:paraId="19B0B755">
            <w:pPr>
              <w:widowControl/>
              <w:numPr>
                <w:ilvl w:val="0"/>
                <w:numId w:val="0"/>
              </w:numPr>
              <w:ind w:firstLine="440" w:firstLineChars="200"/>
              <w:jc w:val="left"/>
              <w:rPr>
                <w:rFonts w:hint="eastAsia" w:ascii="等线" w:hAnsi="等线" w:eastAsia="等线" w:cs="宋体"/>
                <w:iCs/>
                <w:color w:val="auto"/>
                <w:kern w:val="0"/>
                <w:sz w:val="22"/>
              </w:rPr>
            </w:pPr>
            <w:r>
              <w:rPr>
                <w:rFonts w:ascii="等线" w:hAnsi="等线" w:eastAsia="等线" w:cs="宋体"/>
                <w:iCs/>
                <w:color w:val="auto"/>
                <w:kern w:val="0"/>
                <w:sz w:val="22"/>
                <w:szCs w:val="22"/>
                <w:lang w:val="en-US" w:eastAsia="zh-CN" w:bidi="ar-SA"/>
              </w:rPr>
              <w:t>6</w:t>
            </w:r>
            <w:r>
              <w:rPr>
                <w:rFonts w:hint="eastAsia" w:ascii="等线" w:hAnsi="等线" w:eastAsia="等线" w:cs="宋体"/>
                <w:iCs/>
                <w:color w:val="auto"/>
                <w:kern w:val="0"/>
                <w:sz w:val="22"/>
                <w:szCs w:val="22"/>
                <w:lang w:val="en-US" w:eastAsia="zh-CN" w:bidi="ar-SA"/>
              </w:rPr>
              <w:t>.</w:t>
            </w:r>
            <w:r>
              <w:rPr>
                <w:rFonts w:hint="eastAsia" w:ascii="等线" w:hAnsi="等线" w:eastAsia="等线" w:cs="宋体"/>
                <w:iCs/>
                <w:color w:val="auto"/>
                <w:kern w:val="0"/>
                <w:sz w:val="22"/>
              </w:rPr>
              <w:t>如维保期内产生内容变更情况（</w:t>
            </w:r>
            <w:r>
              <w:rPr>
                <w:rFonts w:hint="eastAsia" w:ascii="等线" w:hAnsi="等线" w:eastAsia="等线" w:cs="宋体"/>
                <w:iCs/>
                <w:color w:val="auto"/>
                <w:kern w:val="0"/>
                <w:sz w:val="22"/>
                <w:lang w:val="en-US" w:eastAsia="zh-CN"/>
              </w:rPr>
              <w:t>包括但不限于</w:t>
            </w:r>
            <w:r>
              <w:rPr>
                <w:rFonts w:hint="eastAsia" w:ascii="等线" w:hAnsi="等线" w:eastAsia="等线" w:cs="宋体"/>
                <w:iCs/>
                <w:color w:val="auto"/>
                <w:kern w:val="0"/>
                <w:sz w:val="22"/>
              </w:rPr>
              <w:t>设备在保修期内报废</w:t>
            </w:r>
            <w:r>
              <w:rPr>
                <w:rFonts w:hint="eastAsia" w:ascii="等线" w:hAnsi="等线" w:eastAsia="等线" w:cs="宋体"/>
                <w:iCs/>
                <w:color w:val="auto"/>
                <w:kern w:val="0"/>
                <w:sz w:val="22"/>
                <w:lang w:val="en-US" w:eastAsia="zh-CN"/>
              </w:rPr>
              <w:t>或停用</w:t>
            </w:r>
            <w:r>
              <w:rPr>
                <w:rFonts w:hint="eastAsia" w:ascii="等线" w:hAnsi="等线" w:eastAsia="等线" w:cs="宋体"/>
                <w:iCs/>
                <w:color w:val="auto"/>
                <w:kern w:val="0"/>
                <w:sz w:val="22"/>
              </w:rPr>
              <w:t>导致付款金额改变、遇特殊情况需延长服务期等情况），在不违反法律法规的情形下，双方协商签订补充协议</w:t>
            </w:r>
            <w:r>
              <w:rPr>
                <w:rFonts w:hint="eastAsia" w:ascii="等线" w:hAnsi="等线" w:eastAsia="等线" w:cs="宋体"/>
                <w:iCs/>
                <w:color w:val="auto"/>
                <w:kern w:val="0"/>
                <w:sz w:val="22"/>
                <w:lang w:eastAsia="zh-CN"/>
              </w:rPr>
              <w:t>。</w:t>
            </w:r>
            <w:r>
              <w:rPr>
                <w:rFonts w:hint="eastAsia" w:ascii="等线" w:hAnsi="等线" w:eastAsia="等线" w:cs="宋体"/>
                <w:iCs/>
                <w:color w:val="auto"/>
                <w:kern w:val="0"/>
                <w:sz w:val="22"/>
                <w:lang w:val="en-US" w:eastAsia="zh-CN"/>
              </w:rPr>
              <w:t>如有</w:t>
            </w:r>
            <w:r>
              <w:rPr>
                <w:rFonts w:hint="eastAsia" w:ascii="等线" w:hAnsi="等线" w:eastAsia="等线" w:cs="宋体"/>
                <w:iCs/>
                <w:color w:val="auto"/>
                <w:kern w:val="0"/>
                <w:sz w:val="22"/>
              </w:rPr>
              <w:t>剩余未执行保修时间</w:t>
            </w:r>
            <w:r>
              <w:rPr>
                <w:rFonts w:hint="eastAsia" w:ascii="等线" w:hAnsi="等线" w:eastAsia="等线" w:cs="宋体"/>
                <w:iCs/>
                <w:color w:val="auto"/>
                <w:kern w:val="0"/>
                <w:sz w:val="22"/>
                <w:lang w:eastAsia="zh-CN"/>
              </w:rPr>
              <w:t>，</w:t>
            </w:r>
            <w:r>
              <w:rPr>
                <w:rFonts w:hint="eastAsia" w:ascii="等线" w:hAnsi="等线" w:eastAsia="等线" w:cs="宋体"/>
                <w:iCs/>
                <w:color w:val="auto"/>
                <w:kern w:val="0"/>
                <w:sz w:val="22"/>
              </w:rPr>
              <w:t>按实际天数进行核减。</w:t>
            </w:r>
          </w:p>
          <w:p w14:paraId="1BBF4034">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iCs/>
                <w:color w:val="auto"/>
                <w:kern w:val="0"/>
                <w:sz w:val="22"/>
              </w:rPr>
            </w:pPr>
            <w:r>
              <w:rPr>
                <w:rFonts w:hint="eastAsia" w:ascii="等线" w:hAnsi="等线" w:eastAsia="等线" w:cs="宋体"/>
                <w:iCs/>
                <w:color w:val="auto"/>
                <w:kern w:val="0"/>
                <w:sz w:val="22"/>
                <w:lang w:val="en-US" w:eastAsia="zh-CN"/>
              </w:rPr>
              <w:t>7.</w:t>
            </w:r>
            <w:r>
              <w:rPr>
                <w:rFonts w:hint="eastAsia" w:ascii="等线" w:hAnsi="等线" w:eastAsia="等线" w:cs="宋体"/>
                <w:iCs/>
                <w:color w:val="auto"/>
                <w:kern w:val="0"/>
                <w:sz w:val="22"/>
              </w:rPr>
              <w:t>投标人在服务期内必须遵守采购人单位有关规章制度。</w:t>
            </w:r>
          </w:p>
          <w:p w14:paraId="48CF6196">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ascii="等线" w:hAnsi="等线" w:eastAsia="等线" w:cs="宋体"/>
                <w:color w:val="000000"/>
                <w:kern w:val="0"/>
                <w:sz w:val="22"/>
              </w:rPr>
            </w:pPr>
            <w:r>
              <w:rPr>
                <w:rFonts w:hint="eastAsia" w:ascii="等线" w:hAnsi="等线" w:eastAsia="等线" w:cs="宋体"/>
                <w:iCs/>
                <w:color w:val="auto"/>
                <w:kern w:val="0"/>
                <w:sz w:val="22"/>
                <w:lang w:val="en-US" w:eastAsia="zh-CN"/>
              </w:rPr>
              <w:t>8.保密条款：中标人在服务过程中获取有关采购人的资料、患者信息、数据等均属采购人之工作秘密，中标人及中标人人员需尽保密义务。在未经采购人同意或授权前提下，中标人不得向任何单位或个人泄露有关信息。如因中标人或中标人人员原因导致泄密事件发生，采购人有权追究中标人全部经济和法律责任，中标人应当赔偿因泄露相关信息资料导致采购人造成的损失（包括但不限于合理的调查、取证、存证、保全、保全担保、法律程序、律师及其他由此导致的费用、开支、损失或损害）。在本服务项目完毕之后，中标人在本条款项下的义务并不随之终止，中标人仍需履行其所承诺的保密义务，直到采购人同意其解除此项义务，或事实上不会因违反本保密条款而给采购人造成任何形式的损害时为止。</w:t>
            </w:r>
            <w:r>
              <w:tab/>
            </w:r>
          </w:p>
        </w:tc>
      </w:tr>
    </w:tbl>
    <w:p w14:paraId="55EA1EA3">
      <w:bookmarkStart w:id="0" w:name="_GoBack"/>
      <w:bookmarkEnd w:id="0"/>
    </w:p>
    <w:sectPr>
      <w:footerReference r:id="rId3" w:type="default"/>
      <w:pgSz w:w="11906" w:h="16838"/>
      <w:pgMar w:top="1440" w:right="1800" w:bottom="1440" w:left="85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60106836"/>
    </w:sdtPr>
    <w:sdtContent>
      <w:sdt>
        <w:sdtPr>
          <w:id w:val="1728636285"/>
        </w:sdtPr>
        <w:sdtContent>
          <w:p w14:paraId="0280E27C">
            <w:pPr>
              <w:pStyle w:val="4"/>
              <w:jc w:val="center"/>
            </w:pPr>
            <w:r>
              <w:rPr>
                <w:b/>
                <w:bCs/>
                <w:sz w:val="24"/>
                <w:szCs w:val="24"/>
              </w:rPr>
              <w:fldChar w:fldCharType="begin"/>
            </w:r>
            <w:r>
              <w:rPr>
                <w:b/>
                <w:bCs/>
              </w:rPr>
              <w:instrText xml:space="preserve">PAGE</w:instrText>
            </w:r>
            <w:r>
              <w:rPr>
                <w:b/>
                <w:bCs/>
                <w:sz w:val="24"/>
                <w:szCs w:val="24"/>
              </w:rPr>
              <w:fldChar w:fldCharType="separate"/>
            </w:r>
            <w:r>
              <w:rPr>
                <w:b/>
                <w:bCs/>
              </w:rPr>
              <w:t>2</w:t>
            </w:r>
            <w:r>
              <w:rPr>
                <w:b/>
                <w:bCs/>
                <w:sz w:val="24"/>
                <w:szCs w:val="24"/>
              </w:rPr>
              <w:fldChar w:fldCharType="end"/>
            </w:r>
            <w:r>
              <w:rPr>
                <w:lang w:val="zh-CN"/>
              </w:rPr>
              <w:t xml:space="preserve">/ </w:t>
            </w:r>
            <w:r>
              <w:rPr>
                <w:b/>
                <w:bCs/>
                <w:sz w:val="24"/>
                <w:szCs w:val="24"/>
              </w:rPr>
              <w:fldChar w:fldCharType="begin"/>
            </w:r>
            <w:r>
              <w:rPr>
                <w:b/>
                <w:bCs/>
              </w:rPr>
              <w:instrText xml:space="preserve">NUMPAGES</w:instrText>
            </w:r>
            <w:r>
              <w:rPr>
                <w:b/>
                <w:bCs/>
                <w:sz w:val="24"/>
                <w:szCs w:val="24"/>
              </w:rPr>
              <w:fldChar w:fldCharType="separate"/>
            </w:r>
            <w:r>
              <w:rPr>
                <w:b/>
                <w:bCs/>
              </w:rPr>
              <w:t>2</w:t>
            </w:r>
            <w:r>
              <w:rPr>
                <w:b/>
                <w:bCs/>
                <w:sz w:val="24"/>
                <w:szCs w:val="24"/>
              </w:rPr>
              <w:fldChar w:fldCharType="end"/>
            </w:r>
          </w:p>
        </w:sdtContent>
      </w:sdt>
    </w:sdtContent>
  </w:sdt>
  <w:p w14:paraId="4E7D628B">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2JiOTZkYjQ2Nzc2NTFjOGI1M2E1M2ZlZGM2MGM3ZGUifQ=="/>
    <w:docVar w:name="KSO_WPS_MARK_KEY" w:val="93210919-9d30-4cc8-be99-ccc403d8efa2"/>
  </w:docVars>
  <w:rsids>
    <w:rsidRoot w:val="00C65E44"/>
    <w:rsid w:val="00003A95"/>
    <w:rsid w:val="00031971"/>
    <w:rsid w:val="0004157A"/>
    <w:rsid w:val="00043790"/>
    <w:rsid w:val="0006204D"/>
    <w:rsid w:val="000D7137"/>
    <w:rsid w:val="000E34C3"/>
    <w:rsid w:val="00131224"/>
    <w:rsid w:val="00162CFB"/>
    <w:rsid w:val="0017797A"/>
    <w:rsid w:val="001C3E09"/>
    <w:rsid w:val="001F4AF4"/>
    <w:rsid w:val="002B0F62"/>
    <w:rsid w:val="003416B7"/>
    <w:rsid w:val="00412A44"/>
    <w:rsid w:val="004465B2"/>
    <w:rsid w:val="004B7993"/>
    <w:rsid w:val="005265B1"/>
    <w:rsid w:val="00585062"/>
    <w:rsid w:val="0058570F"/>
    <w:rsid w:val="005940DC"/>
    <w:rsid w:val="005B6D49"/>
    <w:rsid w:val="0063227A"/>
    <w:rsid w:val="00632680"/>
    <w:rsid w:val="00652335"/>
    <w:rsid w:val="006C607E"/>
    <w:rsid w:val="006F7A88"/>
    <w:rsid w:val="00727545"/>
    <w:rsid w:val="00761FC7"/>
    <w:rsid w:val="007629DD"/>
    <w:rsid w:val="00784E48"/>
    <w:rsid w:val="007B542C"/>
    <w:rsid w:val="00851A43"/>
    <w:rsid w:val="00892D70"/>
    <w:rsid w:val="00895A6C"/>
    <w:rsid w:val="008F1AAD"/>
    <w:rsid w:val="00931DF7"/>
    <w:rsid w:val="009E16DF"/>
    <w:rsid w:val="00A66A8C"/>
    <w:rsid w:val="00B17995"/>
    <w:rsid w:val="00B7583B"/>
    <w:rsid w:val="00BB1990"/>
    <w:rsid w:val="00C1620C"/>
    <w:rsid w:val="00C65E44"/>
    <w:rsid w:val="00CF311F"/>
    <w:rsid w:val="00D1155A"/>
    <w:rsid w:val="00D8734E"/>
    <w:rsid w:val="00DB0A9D"/>
    <w:rsid w:val="00DF0C80"/>
    <w:rsid w:val="00E01F19"/>
    <w:rsid w:val="00E314A7"/>
    <w:rsid w:val="00E87AE6"/>
    <w:rsid w:val="00F85075"/>
    <w:rsid w:val="00F93B6F"/>
    <w:rsid w:val="02123AD6"/>
    <w:rsid w:val="13002339"/>
    <w:rsid w:val="13A740BB"/>
    <w:rsid w:val="13B60AEE"/>
    <w:rsid w:val="1DB91893"/>
    <w:rsid w:val="1E9F3AEB"/>
    <w:rsid w:val="280850E3"/>
    <w:rsid w:val="2B45448D"/>
    <w:rsid w:val="325F7DF7"/>
    <w:rsid w:val="32BD0DAD"/>
    <w:rsid w:val="342A71FD"/>
    <w:rsid w:val="36D35EAB"/>
    <w:rsid w:val="3FEA3942"/>
    <w:rsid w:val="40305B08"/>
    <w:rsid w:val="4EB41FBA"/>
    <w:rsid w:val="50A37F6E"/>
    <w:rsid w:val="518C687F"/>
    <w:rsid w:val="550C7611"/>
    <w:rsid w:val="56B05417"/>
    <w:rsid w:val="59707019"/>
    <w:rsid w:val="6052306E"/>
    <w:rsid w:val="65FB7383"/>
    <w:rsid w:val="67DA14DE"/>
    <w:rsid w:val="6CDF7672"/>
    <w:rsid w:val="6FD601DD"/>
    <w:rsid w:val="76A34845"/>
    <w:rsid w:val="76E77696"/>
    <w:rsid w:val="779F724F"/>
    <w:rsid w:val="7CBE7128"/>
    <w:rsid w:val="7CE472F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semiHidden/>
    <w:unhideWhenUsed/>
    <w:qFormat/>
    <w:uiPriority w:val="99"/>
    <w:pPr>
      <w:jc w:val="left"/>
    </w:pPr>
  </w:style>
  <w:style w:type="paragraph" w:styleId="3">
    <w:name w:val="Balloon Text"/>
    <w:basedOn w:val="1"/>
    <w:link w:val="15"/>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4"/>
    <w:semiHidden/>
    <w:unhideWhenUsed/>
    <w:qFormat/>
    <w:uiPriority w:val="99"/>
    <w:rPr>
      <w:b/>
      <w:bCs/>
    </w:rPr>
  </w:style>
  <w:style w:type="table" w:styleId="8">
    <w:name w:val="Table Grid"/>
    <w:basedOn w:val="7"/>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basedOn w:val="9"/>
    <w:semiHidden/>
    <w:unhideWhenUsed/>
    <w:qFormat/>
    <w:uiPriority w:val="99"/>
    <w:rPr>
      <w:sz w:val="21"/>
      <w:szCs w:val="21"/>
    </w:rPr>
  </w:style>
  <w:style w:type="character" w:customStyle="1" w:styleId="11">
    <w:name w:val="页眉 字符"/>
    <w:basedOn w:val="9"/>
    <w:link w:val="5"/>
    <w:qFormat/>
    <w:uiPriority w:val="99"/>
    <w:rPr>
      <w:sz w:val="18"/>
      <w:szCs w:val="18"/>
    </w:rPr>
  </w:style>
  <w:style w:type="character" w:customStyle="1" w:styleId="12">
    <w:name w:val="页脚 字符"/>
    <w:basedOn w:val="9"/>
    <w:link w:val="4"/>
    <w:qFormat/>
    <w:uiPriority w:val="99"/>
    <w:rPr>
      <w:sz w:val="18"/>
      <w:szCs w:val="18"/>
    </w:rPr>
  </w:style>
  <w:style w:type="character" w:customStyle="1" w:styleId="13">
    <w:name w:val="批注文字 字符"/>
    <w:basedOn w:val="9"/>
    <w:link w:val="2"/>
    <w:semiHidden/>
    <w:qFormat/>
    <w:uiPriority w:val="99"/>
  </w:style>
  <w:style w:type="character" w:customStyle="1" w:styleId="14">
    <w:name w:val="批注主题 字符"/>
    <w:basedOn w:val="13"/>
    <w:link w:val="6"/>
    <w:semiHidden/>
    <w:qFormat/>
    <w:uiPriority w:val="99"/>
    <w:rPr>
      <w:b/>
      <w:bCs/>
    </w:rPr>
  </w:style>
  <w:style w:type="character" w:customStyle="1" w:styleId="15">
    <w:name w:val="批注框文本 字符"/>
    <w:basedOn w:val="9"/>
    <w:link w:val="3"/>
    <w:semiHidden/>
    <w:qFormat/>
    <w:uiPriority w:val="99"/>
    <w:rPr>
      <w:sz w:val="18"/>
      <w:szCs w:val="18"/>
    </w:rPr>
  </w:style>
  <w:style w:type="paragraph" w:styleId="16">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2697</Words>
  <Characters>2832</Characters>
  <Lines>6</Lines>
  <Paragraphs>1</Paragraphs>
  <TotalTime>4</TotalTime>
  <ScaleCrop>false</ScaleCrop>
  <LinksUpToDate>false</LinksUpToDate>
  <CharactersWithSpaces>2987</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2022-09-08T01:32:00Z</dcterms:created>
  <dc:creator>123</dc:creator>
  <cp:lastModifiedBy>孟伶俊</cp:lastModifiedBy>
  <cp:lastPrinted>2023-06-06T10:29:00Z</cp:lastPrinted>
  <dcterms:modified xsi:type="dcterms:W3CDTF">2025-04-28T00:47:02Z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ECDB40DA45B84910BE42A67C7FC6046D</vt:lpwstr>
  </property>
  <property fmtid="{D5CDD505-2E9C-101B-9397-08002B2CF9AE}" pid="4" name="KSOTemplateDocerSaveRecord">
    <vt:lpwstr>eyJoZGlkIjoiZTA2ZmFjM2M0Mjc5ZWNiY2YyNmI4NmY2MGJkODZkYTAiLCJ1c2VySWQiOiI0MjE4NTY3MjkifQ==</vt:lpwstr>
  </property>
</Properties>
</file>