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DA844">
      <w:pPr>
        <w:rPr>
          <w:rFonts w:hint="eastAsia" w:ascii="黑体" w:hAnsi="黑体" w:eastAsia="黑体" w:cs="黑体"/>
          <w:sz w:val="32"/>
          <w:szCs w:val="32"/>
        </w:rPr>
      </w:pPr>
    </w:p>
    <w:tbl>
      <w:tblPr>
        <w:tblStyle w:val="8"/>
        <w:tblW w:w="10206" w:type="dxa"/>
        <w:tblInd w:w="250" w:type="dxa"/>
        <w:tblLayout w:type="autofit"/>
        <w:tblCellMar>
          <w:top w:w="0" w:type="dxa"/>
          <w:left w:w="108" w:type="dxa"/>
          <w:bottom w:w="0" w:type="dxa"/>
          <w:right w:w="108" w:type="dxa"/>
        </w:tblCellMar>
      </w:tblPr>
      <w:tblGrid>
        <w:gridCol w:w="2693"/>
        <w:gridCol w:w="7513"/>
      </w:tblGrid>
      <w:tr w14:paraId="34D9BD01">
        <w:tblPrEx>
          <w:tblCellMar>
            <w:top w:w="0" w:type="dxa"/>
            <w:left w:w="108" w:type="dxa"/>
            <w:bottom w:w="0" w:type="dxa"/>
            <w:right w:w="108" w:type="dxa"/>
          </w:tblCellMar>
        </w:tblPrEx>
        <w:trPr>
          <w:trHeight w:val="855" w:hRule="atLeast"/>
        </w:trPr>
        <w:tc>
          <w:tcPr>
            <w:tcW w:w="10206" w:type="dxa"/>
            <w:gridSpan w:val="2"/>
            <w:tcBorders>
              <w:top w:val="nil"/>
              <w:left w:val="nil"/>
              <w:bottom w:val="nil"/>
              <w:right w:val="nil"/>
            </w:tcBorders>
            <w:shd w:val="clear" w:color="auto" w:fill="auto"/>
            <w:vAlign w:val="center"/>
          </w:tcPr>
          <w:p w14:paraId="4F1B6EE0">
            <w:pPr>
              <w:widowControl/>
              <w:jc w:val="center"/>
              <w:rPr>
                <w:rFonts w:hint="eastAsia" w:ascii="宋体" w:hAnsi="宋体" w:eastAsia="宋体" w:cs="宋体"/>
                <w:color w:val="000000"/>
                <w:kern w:val="0"/>
                <w:sz w:val="36"/>
                <w:szCs w:val="36"/>
              </w:rPr>
            </w:pPr>
            <w:r>
              <w:rPr>
                <w:rFonts w:hint="eastAsia" w:ascii="宋体" w:hAnsi="宋体" w:eastAsia="宋体" w:cs="宋体"/>
                <w:b/>
                <w:bCs/>
                <w:color w:val="000000"/>
                <w:kern w:val="0"/>
                <w:sz w:val="36"/>
                <w:szCs w:val="36"/>
              </w:rPr>
              <w:t>统一端点安全管理系统采购需求</w:t>
            </w:r>
          </w:p>
        </w:tc>
      </w:tr>
      <w:tr w14:paraId="2DC3E5A1">
        <w:tblPrEx>
          <w:tblCellMar>
            <w:top w:w="0" w:type="dxa"/>
            <w:left w:w="108" w:type="dxa"/>
            <w:bottom w:w="0" w:type="dxa"/>
            <w:right w:w="108" w:type="dxa"/>
          </w:tblCellMar>
        </w:tblPrEx>
        <w:trPr>
          <w:trHeight w:val="555"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108043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项目名称</w:t>
            </w:r>
          </w:p>
        </w:tc>
        <w:tc>
          <w:tcPr>
            <w:tcW w:w="7513" w:type="dxa"/>
            <w:tcBorders>
              <w:top w:val="single" w:color="auto" w:sz="4" w:space="0"/>
              <w:left w:val="nil"/>
              <w:bottom w:val="single" w:color="auto" w:sz="4" w:space="0"/>
              <w:right w:val="single" w:color="auto" w:sz="4" w:space="0"/>
            </w:tcBorders>
            <w:shd w:val="clear" w:color="auto" w:fill="auto"/>
            <w:vAlign w:val="center"/>
          </w:tcPr>
          <w:p w14:paraId="6615E594">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统一端点安全管理系统</w:t>
            </w:r>
          </w:p>
        </w:tc>
      </w:tr>
      <w:tr w14:paraId="2F5F83DE">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7D45E8D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申请科室</w:t>
            </w:r>
          </w:p>
        </w:tc>
        <w:tc>
          <w:tcPr>
            <w:tcW w:w="7513" w:type="dxa"/>
            <w:tcBorders>
              <w:top w:val="nil"/>
              <w:left w:val="nil"/>
              <w:bottom w:val="single" w:color="auto" w:sz="4" w:space="0"/>
              <w:right w:val="single" w:color="auto" w:sz="4" w:space="0"/>
            </w:tcBorders>
            <w:shd w:val="clear" w:color="auto" w:fill="auto"/>
            <w:vAlign w:val="center"/>
          </w:tcPr>
          <w:p w14:paraId="13B29477">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信息科</w:t>
            </w:r>
          </w:p>
        </w:tc>
      </w:tr>
      <w:tr w14:paraId="2186856A">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16D270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预算总金额</w:t>
            </w:r>
          </w:p>
        </w:tc>
        <w:tc>
          <w:tcPr>
            <w:tcW w:w="7513" w:type="dxa"/>
            <w:tcBorders>
              <w:top w:val="nil"/>
              <w:left w:val="nil"/>
              <w:bottom w:val="single" w:color="auto" w:sz="4" w:space="0"/>
              <w:right w:val="single" w:color="auto" w:sz="4" w:space="0"/>
            </w:tcBorders>
            <w:shd w:val="clear" w:color="auto" w:fill="auto"/>
            <w:vAlign w:val="center"/>
          </w:tcPr>
          <w:p w14:paraId="28C9B06E">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55000元/套</w:t>
            </w:r>
          </w:p>
        </w:tc>
      </w:tr>
      <w:tr w14:paraId="0A198E49">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55A98">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项目采购需求及参数</w:t>
            </w:r>
          </w:p>
        </w:tc>
      </w:tr>
      <w:tr w14:paraId="7B2080FF">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49674BC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一、技术要求</w:t>
            </w:r>
          </w:p>
        </w:tc>
      </w:tr>
      <w:tr w14:paraId="726F74F8">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48D3A664">
            <w:pPr>
              <w:pStyle w:val="6"/>
              <w:widowControl/>
              <w:ind w:left="440" w:hanging="440"/>
              <w:rPr>
                <w:rFonts w:hint="eastAsia" w:ascii="宋体" w:hAnsi="宋体" w:eastAsia="宋体" w:cs="宋体"/>
                <w:sz w:val="22"/>
              </w:rPr>
            </w:pPr>
            <w:r>
              <w:rPr>
                <w:rFonts w:hint="eastAsia" w:ascii="宋体" w:hAnsi="宋体" w:eastAsia="宋体" w:cs="宋体"/>
                <w:sz w:val="22"/>
                <w:lang w:bidi="ar"/>
              </w:rPr>
              <w:t>（一）、</w:t>
            </w:r>
            <w:r>
              <w:rPr>
                <w:rStyle w:val="11"/>
                <w:rFonts w:hint="eastAsia" w:ascii="宋体" w:hAnsi="宋体" w:eastAsia="宋体" w:cs="宋体"/>
                <w:sz w:val="22"/>
              </w:rPr>
              <w:t>项目概述</w:t>
            </w:r>
          </w:p>
          <w:p w14:paraId="3A159D0D">
            <w:pPr>
              <w:pStyle w:val="6"/>
              <w:widowControl/>
              <w:spacing w:line="360" w:lineRule="auto"/>
              <w:ind w:firstLine="440" w:firstLineChars="200"/>
              <w:rPr>
                <w:rFonts w:hint="eastAsia" w:ascii="宋体" w:hAnsi="宋体" w:eastAsia="宋体" w:cs="宋体"/>
                <w:sz w:val="22"/>
              </w:rPr>
            </w:pPr>
            <w:r>
              <w:rPr>
                <w:rFonts w:hint="eastAsia" w:ascii="宋体" w:hAnsi="宋体" w:eastAsia="宋体" w:cs="宋体"/>
                <w:sz w:val="22"/>
              </w:rPr>
              <w:t>为全面提升本院重要资产安全防护能力，确保关键数据和业务系统的安全，本院核心资产需要引入全新的统一端点安全管理系统。该系统应具备强大的自动防护以及泛化能力，能够快速识别并阻断各类安全威胁，同时通过与信息安全运营服务和防火墙等安全产品的联动，实现全方位的安全防护和高效的安全事件闭环管理。</w:t>
            </w:r>
          </w:p>
          <w:p w14:paraId="4501BA13">
            <w:pPr>
              <w:pStyle w:val="6"/>
              <w:widowControl/>
              <w:ind w:left="440" w:hanging="440"/>
              <w:rPr>
                <w:rStyle w:val="11"/>
                <w:rFonts w:hint="eastAsia" w:ascii="宋体" w:hAnsi="宋体" w:eastAsia="宋体" w:cs="宋体"/>
                <w:sz w:val="22"/>
              </w:rPr>
            </w:pPr>
            <w:r>
              <w:rPr>
                <w:rFonts w:hint="eastAsia" w:ascii="宋体" w:hAnsi="宋体" w:eastAsia="宋体" w:cs="宋体"/>
                <w:bCs/>
                <w:sz w:val="22"/>
                <w:lang w:bidi="ar"/>
              </w:rPr>
              <w:t>（二）、</w:t>
            </w:r>
            <w:r>
              <w:rPr>
                <w:rStyle w:val="11"/>
                <w:rFonts w:hint="eastAsia" w:ascii="宋体" w:hAnsi="宋体" w:eastAsia="宋体" w:cs="宋体"/>
                <w:sz w:val="22"/>
              </w:rPr>
              <w:t>具体需求</w:t>
            </w:r>
          </w:p>
          <w:p w14:paraId="252DFE3A">
            <w:pPr>
              <w:spacing w:line="360" w:lineRule="auto"/>
              <w:ind w:firstLine="442" w:firstLineChars="200"/>
              <w:rPr>
                <w:rFonts w:ascii="宋体" w:hAnsi="宋体" w:eastAsia="宋体" w:cs="宋体"/>
                <w:sz w:val="22"/>
              </w:rPr>
            </w:pPr>
            <w:bookmarkStart w:id="0" w:name="OLE_LINK2"/>
            <w:r>
              <w:rPr>
                <w:rStyle w:val="11"/>
                <w:rFonts w:hint="eastAsia" w:ascii="宋体" w:hAnsi="宋体" w:eastAsia="宋体" w:cs="宋体"/>
                <w:sz w:val="22"/>
              </w:rPr>
              <w:t>统一端点安全管理系统需求：</w:t>
            </w:r>
            <w:r>
              <w:rPr>
                <w:rStyle w:val="11"/>
                <w:rFonts w:hint="eastAsia" w:ascii="宋体" w:hAnsi="宋体" w:eastAsia="宋体" w:cs="宋体"/>
                <w:b w:val="0"/>
                <w:bCs/>
                <w:sz w:val="22"/>
              </w:rPr>
              <w:t>统一端点安全管理系统</w:t>
            </w:r>
            <w:r>
              <w:rPr>
                <w:rFonts w:hint="eastAsia" w:ascii="宋体" w:hAnsi="宋体" w:eastAsia="宋体" w:cs="宋体"/>
                <w:sz w:val="22"/>
              </w:rPr>
              <w:t>一套，对不少于30个服务器资产进行周密的安全管理与防护，提供不少于1年的规则库更新服务，具备强大的自动防护以及泛化能力，能够快速识别并阻断各类安全威胁，实现终端全方位的安全防护和高效的安全事件闭环管理，确保所有终端设备遵循相同的安全标准，有效降低安全风险的同时，满足合规要求。</w:t>
            </w:r>
            <w:bookmarkEnd w:id="0"/>
            <w:bookmarkStart w:id="1" w:name="_GoBack"/>
          </w:p>
          <w:p w14:paraId="707EBF39">
            <w:pPr>
              <w:numPr>
                <w:ilvl w:val="0"/>
                <w:numId w:val="1"/>
              </w:numPr>
              <w:spacing w:line="360" w:lineRule="auto"/>
              <w:rPr>
                <w:rFonts w:hint="eastAsia" w:ascii="宋体" w:hAnsi="宋体" w:cs="宋体"/>
              </w:rPr>
            </w:pPr>
            <w:r>
              <w:rPr>
                <w:rFonts w:hint="eastAsia" w:ascii="宋体" w:hAnsi="宋体" w:cs="宋体"/>
              </w:rPr>
              <w:t>支持通过RDP远程桌面登录时进行</w:t>
            </w:r>
            <w:r>
              <w:rPr>
                <w:rFonts w:hint="eastAsia" w:ascii="宋体" w:hAnsi="宋体" w:cs="宋体"/>
                <w:b/>
                <w:bCs/>
              </w:rPr>
              <w:t>二次认证</w:t>
            </w:r>
            <w:r>
              <w:rPr>
                <w:rFonts w:hint="eastAsia" w:ascii="宋体" w:hAnsi="宋体" w:cs="宋体"/>
              </w:rPr>
              <w:t>。</w:t>
            </w:r>
          </w:p>
          <w:bookmarkEnd w:id="1"/>
          <w:p w14:paraId="497AEAD6">
            <w:pPr>
              <w:numPr>
                <w:ilvl w:val="0"/>
                <w:numId w:val="1"/>
              </w:numPr>
              <w:spacing w:line="360" w:lineRule="auto"/>
              <w:rPr>
                <w:rFonts w:hint="eastAsia" w:ascii="宋体" w:hAnsi="宋体" w:cs="宋体"/>
              </w:rPr>
            </w:pPr>
            <w:r>
              <w:rPr>
                <w:rFonts w:hint="eastAsia" w:ascii="宋体" w:hAnsi="宋体" w:cs="宋体"/>
              </w:rPr>
              <w:t>提供对终端资产的集中管理，能够对所有终端进行安全体检和合规检查。</w:t>
            </w:r>
          </w:p>
          <w:p w14:paraId="0B8FFAC6">
            <w:pPr>
              <w:numPr>
                <w:ilvl w:val="0"/>
                <w:numId w:val="1"/>
              </w:numPr>
              <w:spacing w:line="360" w:lineRule="auto"/>
              <w:rPr>
                <w:rFonts w:hint="eastAsia" w:ascii="宋体" w:hAnsi="宋体" w:cs="宋体"/>
              </w:rPr>
            </w:pPr>
            <w:r>
              <w:rPr>
                <w:rFonts w:hint="eastAsia" w:ascii="宋体" w:hAnsi="宋体" w:cs="宋体"/>
              </w:rPr>
              <w:t>支持将</w:t>
            </w:r>
            <w:r>
              <w:rPr>
                <w:rFonts w:hint="eastAsia" w:ascii="宋体" w:hAnsi="宋体" w:cs="宋体"/>
                <w:b/>
                <w:bCs/>
              </w:rPr>
              <w:t>采集终端资产信息</w:t>
            </w:r>
            <w:r>
              <w:rPr>
                <w:rFonts w:hint="eastAsia" w:ascii="宋体" w:hAnsi="宋体" w:cs="宋体"/>
              </w:rPr>
              <w:t>（包括操作系统、硬件、软件、账户、监听端口、运行进程等）并支持与防火墙等安全设备进行联动。</w:t>
            </w:r>
          </w:p>
          <w:p w14:paraId="2D94280A">
            <w:pPr>
              <w:numPr>
                <w:ilvl w:val="0"/>
                <w:numId w:val="1"/>
              </w:numPr>
              <w:spacing w:line="360" w:lineRule="auto"/>
              <w:rPr>
                <w:rFonts w:hint="eastAsia" w:ascii="宋体" w:hAnsi="宋体" w:cs="宋体"/>
              </w:rPr>
            </w:pPr>
            <w:r>
              <w:rPr>
                <w:rFonts w:hint="eastAsia" w:ascii="宋体" w:hAnsi="宋体" w:cs="宋体"/>
              </w:rPr>
              <w:t>采用先进的</w:t>
            </w:r>
            <w:r>
              <w:rPr>
                <w:rFonts w:hint="eastAsia" w:ascii="宋体" w:hAnsi="宋体" w:cs="宋体"/>
                <w:b/>
                <w:bCs/>
              </w:rPr>
              <w:t>自主防护技术</w:t>
            </w:r>
            <w:r>
              <w:rPr>
                <w:rFonts w:hint="eastAsia" w:ascii="宋体" w:hAnsi="宋体" w:cs="宋体"/>
              </w:rPr>
              <w:t>，能够自动识别并防护勒索病毒、网络钓鱼、0day漏洞等多种攻击类型。</w:t>
            </w:r>
          </w:p>
          <w:p w14:paraId="4BE44777">
            <w:pPr>
              <w:numPr>
                <w:ilvl w:val="0"/>
                <w:numId w:val="1"/>
              </w:numPr>
              <w:spacing w:line="360" w:lineRule="auto"/>
              <w:rPr>
                <w:rFonts w:hint="eastAsia" w:ascii="宋体" w:hAnsi="宋体" w:cs="宋体"/>
              </w:rPr>
            </w:pPr>
            <w:r>
              <w:rPr>
                <w:rFonts w:hint="eastAsia" w:ascii="宋体" w:hAnsi="宋体" w:cs="宋体"/>
              </w:rPr>
              <w:t>可自动识别、捕获勒索攻击并进行阻断和告警，确保勒索病毒无法扩散，确保数据安全。</w:t>
            </w:r>
          </w:p>
        </w:tc>
      </w:tr>
      <w:tr w14:paraId="015AF347">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F30878">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二、基本要求</w:t>
            </w:r>
          </w:p>
        </w:tc>
      </w:tr>
      <w:tr w14:paraId="7F5801A5">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5FE73412">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1、投标人提供产品应满足采购人要求标准，包括但不限于如下标准：</w:t>
            </w:r>
          </w:p>
          <w:p w14:paraId="79A12B78">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（1）《全国医院信息化建设标准与规范》</w:t>
            </w:r>
          </w:p>
          <w:p w14:paraId="26F17791">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（2）《医院信息互联互通标准化成熟度测评方案》</w:t>
            </w:r>
          </w:p>
          <w:p w14:paraId="2C1F8F6D">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（3）《信息安全技术网络安全等级保护基本要求》</w:t>
            </w:r>
          </w:p>
          <w:p w14:paraId="6A4D5A52">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（4）《医院信息系统基本功能规范》</w:t>
            </w:r>
          </w:p>
          <w:p w14:paraId="3A48E2DC">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（5）《终端计算机系统安全等级技术要求》</w:t>
            </w:r>
          </w:p>
          <w:p w14:paraId="5C9DCCA7">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（6）《卫生系统电子认证服务规范》</w:t>
            </w:r>
          </w:p>
          <w:p w14:paraId="582E150F">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（7）《信息系统安全工程管理要求》</w:t>
            </w:r>
          </w:p>
          <w:p w14:paraId="0132504B">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2.完全自主知识产权，有专业软件工程师定期系统维护及升级。</w:t>
            </w:r>
          </w:p>
        </w:tc>
      </w:tr>
      <w:tr w14:paraId="03DB09F9">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2D98625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三、商务要求</w:t>
            </w:r>
          </w:p>
        </w:tc>
      </w:tr>
      <w:tr w14:paraId="1933BBCA">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79BCCF27">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1.本项目以人民币进行报价，报价应包括：软件开发、实施、测试、培训、售后维护、人工等全部含税费用及合同实施过程中不可预见费用等。项目执行期间项目总金额不变，采购人无须另向中标供应商支付其他任何费用。 </w:t>
            </w:r>
          </w:p>
          <w:p w14:paraId="0632F6DD">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2.投标人应当对安装现场和周围环境进行自行勘察，以获得由投标人自己负责的有关编制响应文件和签署合同的所有信息，一旦中标这种考察即被认为其结果已在响应文件中的充分反映；若因本项目实施中可能出现其它未知因素和招标文件无法体现的内容而产生费用，该费用由投标人承担。</w:t>
            </w:r>
          </w:p>
          <w:p w14:paraId="41C5332A">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3.投标人提供7×24小时热线服务和长期的免费技术支持，对采购人的服务通知，投标人应在2小时内给予电话响应，如无法解决，应在4小时内到达现场进行维修。 </w:t>
            </w:r>
          </w:p>
          <w:p w14:paraId="03F45D09">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4.软件系统设备免费安装调试，免费给采购人的技术人员进行技术培训，使采购人受训人员掌握原理、操作、运维技术。 </w:t>
            </w:r>
          </w:p>
          <w:p w14:paraId="6D0696A0">
            <w:pPr>
              <w:widowControl/>
              <w:spacing w:line="360" w:lineRule="auto"/>
              <w:ind w:firstLine="440" w:firstLineChars="200"/>
              <w:jc w:val="left"/>
              <w:rPr>
                <w:rFonts w:hint="eastAsia" w:ascii="宋体" w:hAnsi="宋体" w:eastAsia="宋体" w:cs="宋体"/>
                <w:color w:val="000000"/>
                <w:kern w:val="0"/>
                <w:sz w:val="22"/>
              </w:rPr>
            </w:pPr>
            <w:r>
              <w:rPr>
                <w:rFonts w:hint="eastAsia" w:ascii="宋体" w:hAnsi="宋体" w:eastAsia="宋体" w:cs="宋体"/>
                <w:color w:val="000000"/>
                <w:kern w:val="0"/>
                <w:sz w:val="22"/>
              </w:rPr>
              <w:t>5.现场服务要求：合同期内，指定一名熟悉院方信息系统和现场经验的项目经理作为本项目的服务运维总负责人，根据系统运维服务需要进行远程支持和至少每个月定期到场的现场支持，确保整个系统高效、安全、稳定的运行，同时负责协调与用户单位的商务、技术、人员安排、项目管理及进度控制等事宜。</w:t>
            </w:r>
          </w:p>
        </w:tc>
      </w:tr>
    </w:tbl>
    <w:p w14:paraId="55EA1EA3">
      <w:pPr>
        <w:rPr>
          <w:rFonts w:hint="eastAsia"/>
        </w:rPr>
      </w:pPr>
    </w:p>
    <w:sectPr>
      <w:footerReference r:id="rId3" w:type="default"/>
      <w:pgSz w:w="11906" w:h="16838"/>
      <w:pgMar w:top="1440" w:right="1800"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0106836"/>
    </w:sdtPr>
    <w:sdtContent>
      <w:sdt>
        <w:sdtPr>
          <w:id w:val="1728636285"/>
        </w:sdtPr>
        <w:sdtContent>
          <w:p w14:paraId="0280E27C">
            <w:pPr>
              <w:pStyle w:val="4"/>
              <w:jc w:val="center"/>
              <w:rPr>
                <w:rFonts w:hint="eastAsia"/>
              </w:rP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4E7D628B">
    <w:pPr>
      <w:pStyle w:val="4"/>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C617C3"/>
    <w:multiLevelType w:val="singleLevel"/>
    <w:tmpl w:val="3BC617C3"/>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iOTZkYjQ2Nzc2NTFjOGI1M2E1M2ZlZGM2MGM3ZGUifQ=="/>
    <w:docVar w:name="KSO_WPS_MARK_KEY" w:val="93210919-9d30-4cc8-be99-ccc403d8efa2"/>
  </w:docVars>
  <w:rsids>
    <w:rsidRoot w:val="00C65E44"/>
    <w:rsid w:val="00003A95"/>
    <w:rsid w:val="00031971"/>
    <w:rsid w:val="0004157A"/>
    <w:rsid w:val="00043790"/>
    <w:rsid w:val="0006204D"/>
    <w:rsid w:val="000D7137"/>
    <w:rsid w:val="000E34C3"/>
    <w:rsid w:val="00131224"/>
    <w:rsid w:val="00162CFB"/>
    <w:rsid w:val="0017797A"/>
    <w:rsid w:val="001C3E09"/>
    <w:rsid w:val="001F4AF4"/>
    <w:rsid w:val="002B0F62"/>
    <w:rsid w:val="002F6A0C"/>
    <w:rsid w:val="003416B7"/>
    <w:rsid w:val="00412A44"/>
    <w:rsid w:val="004465B2"/>
    <w:rsid w:val="004B7993"/>
    <w:rsid w:val="004D3AFF"/>
    <w:rsid w:val="005265B1"/>
    <w:rsid w:val="00585062"/>
    <w:rsid w:val="0058570F"/>
    <w:rsid w:val="005940DC"/>
    <w:rsid w:val="005B6D49"/>
    <w:rsid w:val="0063227A"/>
    <w:rsid w:val="00632680"/>
    <w:rsid w:val="00652335"/>
    <w:rsid w:val="006C607E"/>
    <w:rsid w:val="006F7A88"/>
    <w:rsid w:val="00727545"/>
    <w:rsid w:val="00761FC7"/>
    <w:rsid w:val="007629DD"/>
    <w:rsid w:val="00784E48"/>
    <w:rsid w:val="007B542C"/>
    <w:rsid w:val="00851A43"/>
    <w:rsid w:val="00892D70"/>
    <w:rsid w:val="00895A6C"/>
    <w:rsid w:val="008F1AAD"/>
    <w:rsid w:val="00931DF7"/>
    <w:rsid w:val="009E16DF"/>
    <w:rsid w:val="00A36CBD"/>
    <w:rsid w:val="00A66A8C"/>
    <w:rsid w:val="00B17995"/>
    <w:rsid w:val="00B7583B"/>
    <w:rsid w:val="00BB1990"/>
    <w:rsid w:val="00C1620C"/>
    <w:rsid w:val="00C65E44"/>
    <w:rsid w:val="00CF311F"/>
    <w:rsid w:val="00D1155A"/>
    <w:rsid w:val="00D44083"/>
    <w:rsid w:val="00D8734E"/>
    <w:rsid w:val="00DB0A9D"/>
    <w:rsid w:val="00DF0C80"/>
    <w:rsid w:val="00E01F19"/>
    <w:rsid w:val="00E314A7"/>
    <w:rsid w:val="00E34B5A"/>
    <w:rsid w:val="00E87AE6"/>
    <w:rsid w:val="00EA2166"/>
    <w:rsid w:val="00F85075"/>
    <w:rsid w:val="00F93B6F"/>
    <w:rsid w:val="02123AD6"/>
    <w:rsid w:val="06F90135"/>
    <w:rsid w:val="06F9373F"/>
    <w:rsid w:val="0D49488C"/>
    <w:rsid w:val="0E285756"/>
    <w:rsid w:val="13A740BB"/>
    <w:rsid w:val="13B60AEE"/>
    <w:rsid w:val="14096B23"/>
    <w:rsid w:val="15D069FF"/>
    <w:rsid w:val="17763333"/>
    <w:rsid w:val="1DB91893"/>
    <w:rsid w:val="1E9F3AEB"/>
    <w:rsid w:val="1FA976C2"/>
    <w:rsid w:val="23FB655A"/>
    <w:rsid w:val="2489490E"/>
    <w:rsid w:val="249F1396"/>
    <w:rsid w:val="280850E3"/>
    <w:rsid w:val="29C964F1"/>
    <w:rsid w:val="2A813D65"/>
    <w:rsid w:val="2ABB6F69"/>
    <w:rsid w:val="2D690438"/>
    <w:rsid w:val="325F7DF7"/>
    <w:rsid w:val="342A71FD"/>
    <w:rsid w:val="36D35EAB"/>
    <w:rsid w:val="377E38FA"/>
    <w:rsid w:val="3B1672AC"/>
    <w:rsid w:val="3CEA20BC"/>
    <w:rsid w:val="3FEA3942"/>
    <w:rsid w:val="41FF1560"/>
    <w:rsid w:val="4F870E29"/>
    <w:rsid w:val="512804F9"/>
    <w:rsid w:val="56B05417"/>
    <w:rsid w:val="588A4C60"/>
    <w:rsid w:val="6052306E"/>
    <w:rsid w:val="61045C75"/>
    <w:rsid w:val="64CA553F"/>
    <w:rsid w:val="65FB7383"/>
    <w:rsid w:val="67DA14DE"/>
    <w:rsid w:val="6CDF7672"/>
    <w:rsid w:val="6F177CB8"/>
    <w:rsid w:val="6FD601DD"/>
    <w:rsid w:val="72F2072C"/>
    <w:rsid w:val="76A34845"/>
    <w:rsid w:val="76E77696"/>
    <w:rsid w:val="78F671A8"/>
    <w:rsid w:val="798A42B2"/>
    <w:rsid w:val="7CC06A9D"/>
    <w:rsid w:val="7CE47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 w:type="character" w:customStyle="1" w:styleId="17">
    <w:name w:val="批注框文本 字符"/>
    <w:basedOn w:val="10"/>
    <w:link w:val="3"/>
    <w:semiHidden/>
    <w:qFormat/>
    <w:uiPriority w:val="99"/>
    <w:rPr>
      <w:sz w:val="18"/>
      <w:szCs w:val="18"/>
    </w:rPr>
  </w:style>
  <w:style w:type="paragraph" w:styleId="18">
    <w:name w:val="List Paragraph"/>
    <w:basedOn w:val="1"/>
    <w:qFormat/>
    <w:uiPriority w:val="99"/>
    <w:pPr>
      <w:ind w:firstLine="420" w:firstLineChars="200"/>
    </w:pPr>
  </w:style>
  <w:style w:type="paragraph" w:customStyle="1" w:styleId="19">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1256</Words>
  <Characters>1269</Characters>
  <Lines>9</Lines>
  <Paragraphs>2</Paragraphs>
  <TotalTime>4</TotalTime>
  <ScaleCrop>false</ScaleCrop>
  <LinksUpToDate>false</LinksUpToDate>
  <CharactersWithSpaces>1272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2025-05-27T07:57:00Z</dcterms:created>
  <dc:creator>123</dc:creator>
  <cp:lastModifiedBy>WPS_1467184377</cp:lastModifiedBy>
  <cp:lastPrinted>2023-06-06T10:29:00Z</cp:lastPrinted>
  <dcterms:modified xsi:type="dcterms:W3CDTF">2025-05-28T07:35:26Z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ECDB40DA45B84910BE42A67C7FC6046D</vt:lpwstr>
  </property>
  <property fmtid="{D5CDD505-2E9C-101B-9397-08002B2CF9AE}" pid="4" name="KSOTemplateDocerSaveRecord">
    <vt:lpwstr>eyJoZGlkIjoiODkzODgxNGE1MDU0YTM1NGY1NWY1MTNiMjZlYzliODQiLCJ1c2VySWQiOiIyMjY1Mjk5MDcifQ==</vt:lpwstr>
  </property>
</Properties>
</file>