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rPr>
      </w:pPr>
    </w:p>
    <w:tbl>
      <w:tblPr>
        <w:tblStyle w:val="8"/>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hint="eastAsia" w:ascii="宋体" w:hAnsi="宋体" w:eastAsia="宋体" w:cs="宋体"/>
                <w:color w:val="000000"/>
                <w:kern w:val="0"/>
                <w:sz w:val="36"/>
                <w:szCs w:val="36"/>
              </w:rPr>
            </w:pPr>
            <w:r>
              <w:rPr>
                <w:rFonts w:hint="eastAsia" w:ascii="宋体" w:hAnsi="宋体" w:eastAsia="宋体" w:cs="宋体"/>
                <w:b/>
                <w:bCs/>
                <w:color w:val="000000"/>
                <w:kern w:val="0"/>
                <w:sz w:val="36"/>
                <w:szCs w:val="36"/>
              </w:rPr>
              <w:t>持续数据保护备份一体化软件采购需求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持续数据保护备份一体化软件</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申请科室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信息科</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35万元</w:t>
            </w:r>
            <w:bookmarkStart w:id="0" w:name="_GoBack"/>
            <w:bookmarkEnd w:id="0"/>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8D3A664">
            <w:pPr>
              <w:pStyle w:val="6"/>
              <w:widowControl/>
              <w:ind w:left="440" w:hanging="440"/>
              <w:rPr>
                <w:rFonts w:hint="eastAsia" w:ascii="宋体" w:hAnsi="宋体" w:eastAsia="宋体" w:cs="宋体"/>
                <w:sz w:val="22"/>
              </w:rPr>
            </w:pPr>
            <w:r>
              <w:rPr>
                <w:rFonts w:hint="eastAsia" w:ascii="宋体" w:hAnsi="宋体" w:eastAsia="宋体" w:cs="宋体"/>
                <w:sz w:val="22"/>
                <w:lang w:bidi="ar"/>
              </w:rPr>
              <w:t>（一）、</w:t>
            </w:r>
            <w:r>
              <w:rPr>
                <w:rStyle w:val="11"/>
                <w:rFonts w:hint="eastAsia" w:ascii="宋体" w:hAnsi="宋体" w:eastAsia="宋体" w:cs="宋体"/>
                <w:sz w:val="22"/>
              </w:rPr>
              <w:t>项目概述</w:t>
            </w:r>
          </w:p>
          <w:p w14:paraId="3A159D0D">
            <w:pPr>
              <w:pStyle w:val="6"/>
              <w:widowControl/>
              <w:spacing w:line="360" w:lineRule="auto"/>
              <w:ind w:firstLine="440" w:firstLineChars="200"/>
              <w:rPr>
                <w:rFonts w:hint="eastAsia" w:ascii="宋体" w:hAnsi="宋体" w:eastAsia="宋体" w:cs="宋体"/>
                <w:sz w:val="22"/>
              </w:rPr>
            </w:pPr>
            <w:r>
              <w:rPr>
                <w:rFonts w:hint="eastAsia" w:ascii="宋体" w:hAnsi="宋体" w:eastAsia="宋体" w:cs="宋体"/>
                <w:sz w:val="22"/>
              </w:rPr>
              <w:t>为满足持续增加的医院核心数据备份需求，全面提升本院重要数据资产安全保护能力， 本院需采购“持续数据保护备份一体化软件”一套。</w:t>
            </w:r>
          </w:p>
          <w:p w14:paraId="4501BA13">
            <w:pPr>
              <w:pStyle w:val="6"/>
              <w:widowControl/>
              <w:ind w:left="440" w:hanging="440"/>
              <w:rPr>
                <w:rStyle w:val="11"/>
                <w:rFonts w:hint="eastAsia" w:ascii="宋体" w:hAnsi="宋体" w:eastAsia="宋体" w:cs="宋体"/>
                <w:sz w:val="22"/>
              </w:rPr>
            </w:pPr>
            <w:r>
              <w:rPr>
                <w:rFonts w:hint="eastAsia" w:ascii="宋体" w:hAnsi="宋体" w:eastAsia="宋体" w:cs="宋体"/>
                <w:bCs/>
                <w:sz w:val="22"/>
                <w:lang w:bidi="ar"/>
              </w:rPr>
              <w:t>（二）、</w:t>
            </w:r>
            <w:r>
              <w:rPr>
                <w:rStyle w:val="11"/>
                <w:rFonts w:hint="eastAsia" w:ascii="宋体" w:hAnsi="宋体" w:eastAsia="宋体" w:cs="宋体"/>
                <w:sz w:val="22"/>
              </w:rPr>
              <w:t>具体需求</w:t>
            </w:r>
          </w:p>
          <w:p w14:paraId="7F64F160">
            <w:pPr>
              <w:spacing w:line="360" w:lineRule="auto"/>
              <w:rPr>
                <w:rFonts w:hint="eastAsia" w:ascii="宋体" w:hAnsi="宋体" w:eastAsia="宋体"/>
                <w:sz w:val="22"/>
              </w:rPr>
            </w:pPr>
            <w:r>
              <w:rPr>
                <w:rFonts w:hint="eastAsia" w:ascii="宋体" w:hAnsi="宋体" w:eastAsia="宋体"/>
                <w:sz w:val="22"/>
              </w:rPr>
              <w:t>1、系统平台兼容性：支持VMware和深信服超融合平台，支持Windows和Linux操作系统，支持银河麒麟和统信UOS操作系统等国产操作系统（对服务器硬件无限制）。</w:t>
            </w:r>
          </w:p>
          <w:p w14:paraId="5E8CDA7F">
            <w:pPr>
              <w:spacing w:line="360" w:lineRule="auto"/>
              <w:rPr>
                <w:rFonts w:hint="eastAsia" w:ascii="宋体" w:hAnsi="宋体" w:eastAsia="宋体"/>
                <w:sz w:val="22"/>
              </w:rPr>
            </w:pPr>
            <w:r>
              <w:rPr>
                <w:rFonts w:hint="eastAsia" w:ascii="宋体" w:hAnsi="宋体" w:eastAsia="宋体"/>
                <w:sz w:val="22"/>
              </w:rPr>
              <w:t>2、备份介质兼容性：备份系统支持磁盘块存储、磁带机、物理磁带库、虚拟磁带库、云存储等作为备份数据的存储介质。</w:t>
            </w:r>
          </w:p>
          <w:p w14:paraId="5CA72642">
            <w:pPr>
              <w:spacing w:line="360" w:lineRule="auto"/>
              <w:rPr>
                <w:rFonts w:hint="eastAsia" w:ascii="宋体" w:hAnsi="宋体" w:eastAsia="宋体"/>
                <w:sz w:val="22"/>
              </w:rPr>
            </w:pPr>
            <w:r>
              <w:rPr>
                <w:rFonts w:hint="eastAsia" w:ascii="宋体" w:hAnsi="宋体" w:eastAsia="宋体"/>
                <w:sz w:val="22"/>
              </w:rPr>
              <w:t>3、备份数据类型：支持整机（物理机和虚拟机）、数据库（含国产数据库类型）和文件等多种类型备份。</w:t>
            </w:r>
          </w:p>
          <w:p w14:paraId="13738FF1">
            <w:pPr>
              <w:spacing w:line="360" w:lineRule="auto"/>
              <w:rPr>
                <w:rFonts w:hint="eastAsia" w:ascii="宋体" w:hAnsi="宋体" w:eastAsia="宋体"/>
                <w:sz w:val="22"/>
              </w:rPr>
            </w:pPr>
            <w:r>
              <w:rPr>
                <w:rFonts w:hint="eastAsia" w:ascii="宋体" w:hAnsi="宋体" w:eastAsia="宋体"/>
                <w:sz w:val="22"/>
              </w:rPr>
              <w:t>4、备份方式：支持定时备份、虚拟化无代理备份和CDP实时备份（支持以数据目录为单位备份），提供不少于300TB备份容量授权。</w:t>
            </w:r>
          </w:p>
          <w:p w14:paraId="5365BB7C">
            <w:pPr>
              <w:spacing w:line="360" w:lineRule="auto"/>
              <w:rPr>
                <w:rFonts w:hint="eastAsia" w:ascii="宋体" w:hAnsi="宋体" w:eastAsia="宋体"/>
                <w:sz w:val="22"/>
              </w:rPr>
            </w:pPr>
            <w:r>
              <w:rPr>
                <w:rFonts w:ascii="宋体" w:hAnsi="宋体" w:eastAsia="宋体"/>
                <w:sz w:val="22"/>
              </w:rPr>
              <w:t>5</w:t>
            </w:r>
            <w:r>
              <w:rPr>
                <w:rFonts w:hint="eastAsia" w:ascii="宋体" w:hAnsi="宋体" w:eastAsia="宋体"/>
                <w:sz w:val="22"/>
              </w:rPr>
              <w:t>、C</w:t>
            </w:r>
            <w:r>
              <w:rPr>
                <w:rFonts w:ascii="宋体" w:hAnsi="宋体" w:eastAsia="宋体"/>
                <w:sz w:val="22"/>
              </w:rPr>
              <w:t>DP</w:t>
            </w:r>
            <w:r>
              <w:rPr>
                <w:rFonts w:hint="eastAsia" w:ascii="宋体" w:hAnsi="宋体" w:eastAsia="宋体"/>
                <w:sz w:val="22"/>
              </w:rPr>
              <w:t>实时备份过程中支持数据镜像多种校验方式，严格校验（支持MD5、SHA256校验算法）、时间校验等。保障数据一致性。</w:t>
            </w:r>
          </w:p>
          <w:p w14:paraId="00D660F6">
            <w:pPr>
              <w:spacing w:line="360" w:lineRule="auto"/>
              <w:rPr>
                <w:rFonts w:hint="eastAsia" w:ascii="宋体" w:hAnsi="宋体" w:eastAsia="宋体"/>
                <w:sz w:val="22"/>
              </w:rPr>
            </w:pPr>
            <w:r>
              <w:rPr>
                <w:rFonts w:hint="eastAsia" w:ascii="宋体" w:hAnsi="宋体" w:eastAsia="宋体"/>
                <w:sz w:val="22"/>
              </w:rPr>
              <w:t>6、C</w:t>
            </w:r>
            <w:r>
              <w:rPr>
                <w:rFonts w:ascii="宋体" w:hAnsi="宋体" w:eastAsia="宋体"/>
                <w:sz w:val="22"/>
              </w:rPr>
              <w:t>DP</w:t>
            </w:r>
            <w:r>
              <w:rPr>
                <w:rFonts w:hint="eastAsia" w:ascii="宋体" w:hAnsi="宋体" w:eastAsia="宋体"/>
                <w:sz w:val="22"/>
              </w:rPr>
              <w:t>实时备份过程中支持指定文件或目录复制，支持按文件后缀排除过滤，如过滤掉日志文件、临时文件等，降低异地传输带宽要求。</w:t>
            </w:r>
          </w:p>
          <w:p w14:paraId="3B5279D6">
            <w:pPr>
              <w:spacing w:line="360" w:lineRule="auto"/>
              <w:rPr>
                <w:rFonts w:hint="eastAsia" w:ascii="宋体" w:hAnsi="宋体" w:eastAsia="宋体"/>
                <w:sz w:val="22"/>
              </w:rPr>
            </w:pPr>
            <w:r>
              <w:rPr>
                <w:rFonts w:ascii="宋体" w:hAnsi="宋体" w:eastAsia="宋体"/>
                <w:sz w:val="22"/>
              </w:rPr>
              <w:t>7</w:t>
            </w:r>
            <w:r>
              <w:rPr>
                <w:rFonts w:hint="eastAsia" w:ascii="宋体" w:hAnsi="宋体" w:eastAsia="宋体"/>
                <w:sz w:val="22"/>
              </w:rPr>
              <w:t>、支持数据缓存能力，当被保护数据短时间大量变化，超过网络带宽传输上限时，可缓存在本地，不会造成复制中断和数据确实。可实时查看被缓存的数据量和两端数据差异时间。可自定义设置数据缓存的上限和位置，避免影响生产主机正常运行。</w:t>
            </w:r>
          </w:p>
          <w:p w14:paraId="6618D09F">
            <w:pPr>
              <w:spacing w:line="360" w:lineRule="auto"/>
              <w:rPr>
                <w:rFonts w:hint="eastAsia" w:ascii="宋体" w:hAnsi="宋体" w:eastAsia="宋体"/>
                <w:sz w:val="22"/>
              </w:rPr>
            </w:pPr>
            <w:r>
              <w:rPr>
                <w:rFonts w:ascii="宋体" w:hAnsi="宋体" w:eastAsia="宋体"/>
                <w:sz w:val="22"/>
              </w:rPr>
              <w:t>8</w:t>
            </w:r>
            <w:r>
              <w:rPr>
                <w:rFonts w:hint="eastAsia" w:ascii="宋体" w:hAnsi="宋体" w:eastAsia="宋体"/>
                <w:sz w:val="22"/>
              </w:rPr>
              <w:t>、数据可恢复细粒度：支持任意细粒度的数据恢复，可指定数据文件或目录恢复至任意时间点，可恢复时间粒度为微秒，即RP0≈0。</w:t>
            </w:r>
          </w:p>
          <w:p w14:paraId="61084CCF">
            <w:pPr>
              <w:spacing w:line="360" w:lineRule="auto"/>
              <w:rPr>
                <w:rFonts w:hint="eastAsia" w:ascii="宋体" w:hAnsi="宋体" w:eastAsia="宋体"/>
                <w:sz w:val="22"/>
              </w:rPr>
            </w:pPr>
            <w:r>
              <w:rPr>
                <w:rFonts w:ascii="宋体" w:hAnsi="宋体" w:eastAsia="宋体"/>
                <w:sz w:val="22"/>
              </w:rPr>
              <w:t>9</w:t>
            </w:r>
            <w:r>
              <w:rPr>
                <w:rFonts w:hint="eastAsia" w:ascii="宋体" w:hAnsi="宋体" w:eastAsia="宋体"/>
                <w:sz w:val="22"/>
              </w:rPr>
              <w:t>、备份限速：可根据业务需要以及网络环境，实现对备份任务传输速率进行配置。</w:t>
            </w:r>
          </w:p>
          <w:p w14:paraId="1677945E">
            <w:pPr>
              <w:spacing w:line="360" w:lineRule="auto"/>
              <w:rPr>
                <w:rFonts w:hint="eastAsia" w:ascii="宋体" w:hAnsi="宋体" w:eastAsia="宋体"/>
                <w:sz w:val="22"/>
              </w:rPr>
            </w:pPr>
            <w:r>
              <w:rPr>
                <w:rFonts w:ascii="宋体" w:hAnsi="宋体" w:eastAsia="宋体"/>
                <w:sz w:val="22"/>
              </w:rPr>
              <w:t>10</w:t>
            </w:r>
            <w:r>
              <w:rPr>
                <w:rFonts w:hint="eastAsia" w:ascii="宋体" w:hAnsi="宋体" w:eastAsia="宋体"/>
                <w:sz w:val="22"/>
              </w:rPr>
              <w:t>、异地灾备：支持将生产中心备份数据通过专线远程复制到同城/异地灾备中心，在生产中心发生极端灾难情况下，可快速通过灾备中心恢复业务数据。</w:t>
            </w:r>
          </w:p>
          <w:p w14:paraId="04839499">
            <w:pPr>
              <w:spacing w:line="360" w:lineRule="auto"/>
              <w:rPr>
                <w:rFonts w:hint="eastAsia" w:ascii="宋体" w:hAnsi="宋体" w:eastAsia="宋体"/>
                <w:sz w:val="22"/>
              </w:rPr>
            </w:pPr>
            <w:r>
              <w:rPr>
                <w:rFonts w:ascii="宋体" w:hAnsi="宋体" w:eastAsia="宋体"/>
                <w:sz w:val="22"/>
              </w:rPr>
              <w:t>11</w:t>
            </w:r>
            <w:r>
              <w:rPr>
                <w:rFonts w:hint="eastAsia" w:ascii="宋体" w:hAnsi="宋体" w:eastAsia="宋体"/>
                <w:sz w:val="22"/>
              </w:rPr>
              <w:t>、备份系统防护：支持在确保备份数据具有重复删除功能的前提下，支持不可变存储、WORM特性，禁止通过界面手动删除备份数据，以及root用户手动删除备份数据，以防止数据被恶意篡改并提供威胁感知记录能力。</w:t>
            </w:r>
          </w:p>
          <w:p w14:paraId="46E858C5">
            <w:pPr>
              <w:spacing w:line="360" w:lineRule="auto"/>
              <w:rPr>
                <w:rFonts w:hint="eastAsia" w:ascii="宋体" w:hAnsi="宋体" w:eastAsia="宋体"/>
                <w:sz w:val="22"/>
              </w:rPr>
            </w:pPr>
            <w:r>
              <w:rPr>
                <w:rFonts w:ascii="宋体" w:hAnsi="宋体" w:eastAsia="宋体"/>
                <w:sz w:val="22"/>
              </w:rPr>
              <w:t>12</w:t>
            </w:r>
            <w:r>
              <w:rPr>
                <w:rFonts w:hint="eastAsia" w:ascii="宋体" w:hAnsi="宋体" w:eastAsia="宋体"/>
                <w:sz w:val="22"/>
              </w:rPr>
              <w:t>、容灾高可用：支持基于主机的连续数据复制，及异构平台之间的应用级切换，通过多心跳监控和虚拟IP技术，实现业务系统自动/手动切换及一键式回切,即RTO≈0。</w:t>
            </w:r>
          </w:p>
          <w:p w14:paraId="5AA25754">
            <w:pPr>
              <w:spacing w:line="360" w:lineRule="auto"/>
              <w:rPr>
                <w:rFonts w:hint="eastAsia" w:ascii="宋体" w:hAnsi="宋体" w:eastAsia="宋体"/>
                <w:sz w:val="22"/>
              </w:rPr>
            </w:pPr>
            <w:r>
              <w:rPr>
                <w:rFonts w:hint="eastAsia" w:ascii="宋体" w:hAnsi="宋体" w:eastAsia="宋体"/>
                <w:sz w:val="22"/>
              </w:rPr>
              <w:t>1</w:t>
            </w:r>
            <w:r>
              <w:rPr>
                <w:rFonts w:ascii="宋体" w:hAnsi="宋体" w:eastAsia="宋体"/>
                <w:sz w:val="22"/>
              </w:rPr>
              <w:t>3</w:t>
            </w:r>
            <w:r>
              <w:rPr>
                <w:rFonts w:hint="eastAsia" w:ascii="宋体" w:hAnsi="宋体" w:eastAsia="宋体"/>
                <w:sz w:val="22"/>
              </w:rPr>
              <w:t>、支持多种业务监控对象，支持生产主机服务或进程监控、支持生产主机CPU、内存、磁盘、网络资源监控、支持自定义监控脚本；可配置监控失败次数，满足切换条件时备端接管业务。</w:t>
            </w:r>
          </w:p>
          <w:p w14:paraId="20FD2296">
            <w:pPr>
              <w:spacing w:line="360" w:lineRule="auto"/>
              <w:rPr>
                <w:rFonts w:hint="eastAsia" w:ascii="宋体" w:hAnsi="宋体" w:eastAsia="宋体"/>
                <w:sz w:val="22"/>
              </w:rPr>
            </w:pPr>
            <w:r>
              <w:rPr>
                <w:rFonts w:hint="eastAsia" w:ascii="宋体" w:hAnsi="宋体" w:eastAsia="宋体"/>
                <w:sz w:val="22"/>
              </w:rPr>
              <w:t>1</w:t>
            </w:r>
            <w:r>
              <w:rPr>
                <w:rFonts w:ascii="宋体" w:hAnsi="宋体" w:eastAsia="宋体"/>
                <w:sz w:val="22"/>
              </w:rPr>
              <w:t>4</w:t>
            </w:r>
            <w:r>
              <w:rPr>
                <w:rFonts w:hint="eastAsia" w:ascii="宋体" w:hAnsi="宋体" w:eastAsia="宋体"/>
                <w:sz w:val="22"/>
              </w:rPr>
              <w:t>、支持灾备就绪能力，灾备端主机系统为运行状态，实时可登录可查，无需在灾难发生再启动操作系统，提高灾备接管成功率，减少RTO时间。</w:t>
            </w:r>
          </w:p>
          <w:p w14:paraId="2A248BA4">
            <w:pPr>
              <w:spacing w:line="360" w:lineRule="auto"/>
              <w:rPr>
                <w:rFonts w:hint="eastAsia" w:ascii="宋体" w:hAnsi="宋体" w:eastAsia="宋体"/>
                <w:sz w:val="22"/>
              </w:rPr>
            </w:pPr>
            <w:r>
              <w:rPr>
                <w:rFonts w:hint="eastAsia" w:ascii="宋体" w:hAnsi="宋体" w:eastAsia="宋体"/>
                <w:sz w:val="22"/>
              </w:rPr>
              <w:t>1</w:t>
            </w:r>
            <w:r>
              <w:rPr>
                <w:rFonts w:ascii="宋体" w:hAnsi="宋体" w:eastAsia="宋体"/>
                <w:sz w:val="22"/>
              </w:rPr>
              <w:t>5</w:t>
            </w:r>
            <w:r>
              <w:rPr>
                <w:rFonts w:hint="eastAsia" w:ascii="宋体" w:hAnsi="宋体" w:eastAsia="宋体"/>
                <w:sz w:val="22"/>
              </w:rPr>
              <w:t>、支持节点仲裁、磁盘仲裁两种仲裁机制，防止心跳故障导致脑裂场景。支持多节点仲裁，防止出现单点故障的现象。</w:t>
            </w:r>
          </w:p>
          <w:p w14:paraId="570DE06D">
            <w:pPr>
              <w:spacing w:line="360" w:lineRule="auto"/>
              <w:rPr>
                <w:rFonts w:hint="eastAsia" w:ascii="宋体" w:hAnsi="宋体" w:eastAsia="宋体"/>
                <w:sz w:val="22"/>
              </w:rPr>
            </w:pPr>
            <w:r>
              <w:rPr>
                <w:rFonts w:hint="eastAsia" w:ascii="宋体" w:hAnsi="宋体" w:eastAsia="宋体"/>
                <w:sz w:val="22"/>
              </w:rPr>
              <w:t>1</w:t>
            </w:r>
            <w:r>
              <w:rPr>
                <w:rFonts w:ascii="宋体" w:hAnsi="宋体" w:eastAsia="宋体"/>
                <w:sz w:val="22"/>
              </w:rPr>
              <w:t>6</w:t>
            </w:r>
            <w:r>
              <w:rPr>
                <w:rFonts w:hint="eastAsia" w:ascii="宋体" w:hAnsi="宋体" w:eastAsia="宋体"/>
                <w:sz w:val="22"/>
              </w:rPr>
              <w:t>、应急接管和仿真演练：支持“应急接管”及“仿真演练”两种镜像还原模式，应急接管模式，连通外部业务网段，可直接承接业务，实现应用容灾；仿真演练模式，不连通外部业务网段，作为验证数据一致性验证、容灾演练、仿真测试等场景使用。</w:t>
            </w:r>
          </w:p>
          <w:p w14:paraId="4A67AB3C">
            <w:pPr>
              <w:spacing w:line="360" w:lineRule="auto"/>
              <w:rPr>
                <w:rFonts w:hint="eastAsia" w:ascii="宋体" w:hAnsi="宋体" w:eastAsia="宋体"/>
                <w:sz w:val="22"/>
              </w:rPr>
            </w:pPr>
            <w:r>
              <w:rPr>
                <w:rFonts w:hint="eastAsia" w:ascii="宋体" w:hAnsi="宋体" w:eastAsia="宋体"/>
                <w:sz w:val="22"/>
              </w:rPr>
              <w:t>1</w:t>
            </w:r>
            <w:r>
              <w:rPr>
                <w:rFonts w:ascii="宋体" w:hAnsi="宋体" w:eastAsia="宋体"/>
                <w:sz w:val="22"/>
              </w:rPr>
              <w:t>7</w:t>
            </w:r>
            <w:r>
              <w:rPr>
                <w:rFonts w:hint="eastAsia" w:ascii="宋体" w:hAnsi="宋体" w:eastAsia="宋体"/>
                <w:sz w:val="22"/>
              </w:rPr>
              <w:t>、数据生命周期管理：可根据预设条件自动清理或合并过期数据，同时也提供手动清理功能。</w:t>
            </w:r>
          </w:p>
          <w:p w14:paraId="0620FD62">
            <w:pPr>
              <w:spacing w:line="360" w:lineRule="auto"/>
              <w:rPr>
                <w:rFonts w:hint="eastAsia" w:ascii="宋体" w:hAnsi="宋体" w:eastAsia="宋体"/>
                <w:sz w:val="22"/>
              </w:rPr>
            </w:pPr>
            <w:r>
              <w:rPr>
                <w:rFonts w:hint="eastAsia" w:ascii="宋体" w:hAnsi="宋体" w:eastAsia="宋体"/>
                <w:sz w:val="22"/>
              </w:rPr>
              <w:t>1</w:t>
            </w:r>
            <w:r>
              <w:rPr>
                <w:rFonts w:ascii="宋体" w:hAnsi="宋体" w:eastAsia="宋体"/>
                <w:sz w:val="22"/>
              </w:rPr>
              <w:t>8</w:t>
            </w:r>
            <w:r>
              <w:rPr>
                <w:rFonts w:hint="eastAsia" w:ascii="宋体" w:hAnsi="宋体" w:eastAsia="宋体"/>
                <w:sz w:val="22"/>
              </w:rPr>
              <w:t>、安全审计：提供日志记录，包括系统日志、用户日志、备份任务日志等。</w:t>
            </w:r>
          </w:p>
          <w:p w14:paraId="4BE44777">
            <w:pPr>
              <w:spacing w:line="360" w:lineRule="auto"/>
              <w:rPr>
                <w:rFonts w:hint="eastAsia" w:ascii="宋体" w:hAnsi="宋体" w:eastAsia="宋体"/>
                <w:sz w:val="22"/>
              </w:rPr>
            </w:pPr>
            <w:r>
              <w:rPr>
                <w:rFonts w:hint="eastAsia" w:ascii="宋体" w:hAnsi="宋体" w:eastAsia="宋体"/>
                <w:sz w:val="22"/>
              </w:rPr>
              <w:t>19、符合国家信创相关标准要求。</w:t>
            </w:r>
          </w:p>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二、基本要求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1、投标人提供产品应满足采购人要求标准，包括但不限于如下标准：</w:t>
            </w:r>
          </w:p>
          <w:p w14:paraId="79A12B78">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（1）《全国医院信息化建设标准与规范》</w:t>
            </w:r>
          </w:p>
          <w:p w14:paraId="26F17791">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（2）《医院信息互联互通标准化成熟度测评方案》</w:t>
            </w:r>
          </w:p>
          <w:p w14:paraId="2C1F8F6D">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（3）《信息安全技术网络安全等级保护基本要求》</w:t>
            </w:r>
          </w:p>
          <w:p w14:paraId="6A4D5A52">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（4）《医院信息系统基本功能规范》</w:t>
            </w:r>
          </w:p>
          <w:p w14:paraId="3A48E2DC">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（5）《终端计算机系统安全等级技术要求》</w:t>
            </w:r>
          </w:p>
          <w:p w14:paraId="5C9DCCA7">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（6）《卫生系统电子认证服务规范》</w:t>
            </w:r>
          </w:p>
          <w:p w14:paraId="582E150F">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（7）《信息系统安全工程管理要求》</w:t>
            </w:r>
          </w:p>
          <w:p w14:paraId="0132504B">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2.完全自主知识产权，有专业软件工程师定期系统维护及升级。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79BCCF27">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1.本项目以人民币进行报价，报价应包括：软件开发、实施、测试、培训、售后维护、人工等全部含税费用及合同实施过程中不可预见费用等。项目执行期间项目总金额不变，采购人无须另向中标供应商支付其他任何费用。 </w:t>
            </w:r>
          </w:p>
          <w:p w14:paraId="0632F6DD">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2.投标人应当对安装现场和周围环境进行自行勘察，以获得由投标人自己负责的有关编制响应文件和签署合同的所有信息，一旦中标这种考察即被认为其结果已在响应文件中的充分反映；若因本项目实施中可能出现其它未知因素和招标文件无法体现的内容而产生费用，该费用由投标人承担。</w:t>
            </w:r>
          </w:p>
          <w:p w14:paraId="41C5332A">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3.投标人提供7×24小时热线服务和长期的免费技术支持，对采购人的服务通知，投标人应在2小时内给予电话响应，如无法解决，应在4小时内到达现场进行维修。 </w:t>
            </w:r>
          </w:p>
          <w:p w14:paraId="03F45D09">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4.软件系统设备免费安装调试，免费给采购人的技术人员进行技术培训，使采购人受训人员掌握原理、操作、运维技术。 </w:t>
            </w:r>
          </w:p>
          <w:p w14:paraId="6D0696A0">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5.现场服务要求：合同期内，指定一名熟悉院方信息系统和现场经验的项目经理作为本项目的服务运维总负责人，根据系统运维服务需要进行远程支持和至少每个月定期到场的现场支持，确保整个系统高效、安全、稳定的运行，同时负责协调与用户单位的商务、技术、人员安排、项目管理及进度控制等事宜。</w:t>
            </w:r>
          </w:p>
        </w:tc>
      </w:tr>
    </w:tbl>
    <w:p w14:paraId="55EA1EA3">
      <w:pPr>
        <w:rPr>
          <w:rFonts w:hint="eastAsia"/>
        </w:rPr>
      </w:pPr>
    </w:p>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4"/>
              <w:jc w:val="center"/>
              <w:rPr>
                <w:rFonts w:hint="eastAsia"/>
              </w:rP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07860"/>
    <w:rsid w:val="002B0F62"/>
    <w:rsid w:val="002F6A0C"/>
    <w:rsid w:val="003416B7"/>
    <w:rsid w:val="00412A44"/>
    <w:rsid w:val="004465B2"/>
    <w:rsid w:val="004B7993"/>
    <w:rsid w:val="004D3AFF"/>
    <w:rsid w:val="005265B1"/>
    <w:rsid w:val="00551377"/>
    <w:rsid w:val="00585062"/>
    <w:rsid w:val="0058570F"/>
    <w:rsid w:val="005940DC"/>
    <w:rsid w:val="005B6D49"/>
    <w:rsid w:val="0063227A"/>
    <w:rsid w:val="00632680"/>
    <w:rsid w:val="00652335"/>
    <w:rsid w:val="006C607E"/>
    <w:rsid w:val="006F7A88"/>
    <w:rsid w:val="00727545"/>
    <w:rsid w:val="00761FC7"/>
    <w:rsid w:val="007629DD"/>
    <w:rsid w:val="00784E48"/>
    <w:rsid w:val="007A435B"/>
    <w:rsid w:val="007B542C"/>
    <w:rsid w:val="00851A43"/>
    <w:rsid w:val="00892D70"/>
    <w:rsid w:val="00895A6C"/>
    <w:rsid w:val="008F1AAD"/>
    <w:rsid w:val="00931DF7"/>
    <w:rsid w:val="009E16DF"/>
    <w:rsid w:val="00A36CBD"/>
    <w:rsid w:val="00A66A8C"/>
    <w:rsid w:val="00B17995"/>
    <w:rsid w:val="00B7583B"/>
    <w:rsid w:val="00BB1990"/>
    <w:rsid w:val="00C1620C"/>
    <w:rsid w:val="00C65E44"/>
    <w:rsid w:val="00CF311F"/>
    <w:rsid w:val="00D1155A"/>
    <w:rsid w:val="00D44083"/>
    <w:rsid w:val="00D8734E"/>
    <w:rsid w:val="00DB0A9D"/>
    <w:rsid w:val="00DF0C80"/>
    <w:rsid w:val="00E01F19"/>
    <w:rsid w:val="00E314A7"/>
    <w:rsid w:val="00E34B5A"/>
    <w:rsid w:val="00E87AE6"/>
    <w:rsid w:val="00EA2166"/>
    <w:rsid w:val="00F85075"/>
    <w:rsid w:val="00F93B6F"/>
    <w:rsid w:val="011A7BEE"/>
    <w:rsid w:val="02123AD6"/>
    <w:rsid w:val="06F90135"/>
    <w:rsid w:val="0D49488C"/>
    <w:rsid w:val="0E285756"/>
    <w:rsid w:val="13A740BB"/>
    <w:rsid w:val="13B60AEE"/>
    <w:rsid w:val="14096B23"/>
    <w:rsid w:val="15D069FF"/>
    <w:rsid w:val="17763333"/>
    <w:rsid w:val="1DB91893"/>
    <w:rsid w:val="1E9F3AEB"/>
    <w:rsid w:val="1FA976C2"/>
    <w:rsid w:val="23FB655A"/>
    <w:rsid w:val="2489490E"/>
    <w:rsid w:val="249F1396"/>
    <w:rsid w:val="280850E3"/>
    <w:rsid w:val="29C964F1"/>
    <w:rsid w:val="2A813D65"/>
    <w:rsid w:val="2ABB6F69"/>
    <w:rsid w:val="2D690438"/>
    <w:rsid w:val="325F7DF7"/>
    <w:rsid w:val="342A71FD"/>
    <w:rsid w:val="36D35EAB"/>
    <w:rsid w:val="377E38FA"/>
    <w:rsid w:val="3B1672AC"/>
    <w:rsid w:val="3CEA20BC"/>
    <w:rsid w:val="3FEA3942"/>
    <w:rsid w:val="41FF1560"/>
    <w:rsid w:val="4F870E29"/>
    <w:rsid w:val="512804F9"/>
    <w:rsid w:val="56B05417"/>
    <w:rsid w:val="588A4C60"/>
    <w:rsid w:val="6052306E"/>
    <w:rsid w:val="61045C75"/>
    <w:rsid w:val="64CA553F"/>
    <w:rsid w:val="65FB7383"/>
    <w:rsid w:val="67DA14DE"/>
    <w:rsid w:val="6CDF7672"/>
    <w:rsid w:val="6F177CB8"/>
    <w:rsid w:val="6FD601DD"/>
    <w:rsid w:val="72F2072C"/>
    <w:rsid w:val="76A34845"/>
    <w:rsid w:val="76E77696"/>
    <w:rsid w:val="78F671A8"/>
    <w:rsid w:val="798A42B2"/>
    <w:rsid w:val="7CC06A9D"/>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10"/>
    <w:link w:val="3"/>
    <w:semiHidden/>
    <w:qFormat/>
    <w:uiPriority w:val="99"/>
    <w:rPr>
      <w:sz w:val="18"/>
      <w:szCs w:val="18"/>
    </w:rPr>
  </w:style>
  <w:style w:type="paragraph" w:styleId="18">
    <w:name w:val="List Paragraph"/>
    <w:basedOn w:val="1"/>
    <w:qFormat/>
    <w:uiPriority w:val="99"/>
    <w:pPr>
      <w:ind w:firstLine="420" w:firstLineChars="200"/>
    </w:pPr>
  </w:style>
  <w:style w:type="paragraph" w:customStyle="1" w:styleId="19">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1323</Words>
  <Characters>1382</Characters>
  <Lines>15</Lines>
  <Paragraphs>4</Paragraphs>
  <TotalTime>4</TotalTime>
  <ScaleCrop>false</ScaleCrop>
  <LinksUpToDate>false</LinksUpToDate>
  <CharactersWithSpaces>1383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2025-05-27T08:08:00Z</dcterms:created>
  <dc:creator>123</dc:creator>
  <cp:lastModifiedBy>孟伶俊</cp:lastModifiedBy>
  <cp:lastPrinted>2023-06-06T10:29:00Z</cp:lastPrinted>
  <dcterms:modified xsi:type="dcterms:W3CDTF">2025-05-29T00:05:50Z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ECDB40DA45B84910BE42A67C7FC6046D</vt:lpwstr>
  </property>
  <property fmtid="{D5CDD505-2E9C-101B-9397-08002B2CF9AE}" pid="4" name="KSOTemplateDocerSaveRecord">
    <vt:lpwstr>eyJoZGlkIjoiZTA2ZmFjM2M0Mjc5ZWNiY2YyNmI4NmY2MGJkODZkYTAiLCJ1c2VySWQiOiI0MjE4NTY3MjkifQ==</vt:lpwstr>
  </property>
</Properties>
</file>