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中山市中医院数据备份设备采购项目需求</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一、项目基本情况</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1、项目名称：中山市中医院数据备份设备采购项目</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2、项目内容：为满足业务发展及正常运行需要，应对数据安全备份需求，医院拟采购一批数据备份硬件设备，以提升数据备份空间容量。</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3、项目上限价：￥1770000元，超过采购上限价的属于无效响应。</w:t>
      </w:r>
    </w:p>
    <w:p>
      <w:pPr>
        <w:keepNext w:val="0"/>
        <w:keepLines w:val="0"/>
        <w:pageBreakBefore w:val="0"/>
        <w:widowControl/>
        <w:tabs>
          <w:tab w:val="center" w:pos="4363"/>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cs="宋体" w:asciiTheme="minorEastAsia" w:hAnsiTheme="minorEastAsia" w:eastAsiaTheme="minorEastAsia"/>
          <w:szCs w:val="21"/>
        </w:rPr>
        <w:t>3</w:t>
      </w:r>
      <w:r>
        <w:rPr>
          <w:rFonts w:hint="eastAsia" w:cs="宋体" w:asciiTheme="minorEastAsia" w:hAnsiTheme="minorEastAsia" w:eastAsiaTheme="minorEastAsia"/>
          <w:szCs w:val="21"/>
        </w:rPr>
        <w:t>0天</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：总价包干，</w:t>
      </w:r>
      <w:r>
        <w:rPr>
          <w:rFonts w:hint="eastAsia" w:cs="宋体" w:asciiTheme="minorEastAsia" w:hAnsiTheme="minorEastAsia" w:eastAsiaTheme="minorEastAsia"/>
          <w:bCs/>
          <w:szCs w:val="21"/>
        </w:rPr>
        <w:t>报价应包括硬件采购、安装调试、验收、培训、售后服务、各种税费及合同实施过程中的不可预见费用等。</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b/>
          <w:sz w:val="24"/>
        </w:rPr>
      </w:pPr>
      <w:r>
        <w:rPr>
          <w:rFonts w:hint="eastAsia"/>
          <w:b/>
          <w:sz w:val="24"/>
        </w:rPr>
        <w:t>二、采购</w:t>
      </w:r>
      <w:r>
        <w:rPr>
          <w:b/>
          <w:sz w:val="24"/>
        </w:rPr>
        <w:t>清单</w:t>
      </w:r>
    </w:p>
    <w:tbl>
      <w:tblPr>
        <w:tblStyle w:val="10"/>
        <w:tblpPr w:leftFromText="180" w:rightFromText="180" w:vertAnchor="text" w:horzAnchor="page" w:tblpXSpec="center" w:tblpY="3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1618"/>
        <w:gridCol w:w="502"/>
        <w:gridCol w:w="502"/>
        <w:gridCol w:w="721"/>
        <w:gridCol w:w="721"/>
        <w:gridCol w:w="3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设备名称</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预算单价</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预算总价</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磁盘扩展柜</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0" w:type="auto"/>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58万元</w:t>
            </w:r>
          </w:p>
        </w:tc>
        <w:tc>
          <w:tcPr>
            <w:tcW w:w="0" w:type="auto"/>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116万元</w:t>
            </w:r>
          </w:p>
        </w:tc>
        <w:tc>
          <w:tcPr>
            <w:tcW w:w="0" w:type="auto"/>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JBOD磁盘扩展柜，每台包含16T*84个磁盘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磁带库</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套</w:t>
            </w:r>
          </w:p>
        </w:tc>
        <w:tc>
          <w:tcPr>
            <w:tcW w:w="0" w:type="auto"/>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46万元</w:t>
            </w:r>
          </w:p>
        </w:tc>
        <w:tc>
          <w:tcPr>
            <w:tcW w:w="0" w:type="auto"/>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46万元</w:t>
            </w:r>
          </w:p>
        </w:tc>
        <w:tc>
          <w:tcPr>
            <w:tcW w:w="0" w:type="auto"/>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配置一个控制柜和一个扩展柜，包含6个LTO9驱动器，70盒LTO9磁带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0" w:type="auto"/>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ULT3580-TD7驱动器</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0" w:type="auto"/>
            <w:vAlign w:val="center"/>
          </w:tcPr>
          <w:p>
            <w:pPr>
              <w:keepNext w:val="0"/>
              <w:keepLines w:val="0"/>
              <w:pageBreakBefore w:val="0"/>
              <w:kinsoku/>
              <w:wordWrap/>
              <w:overflowPunct/>
              <w:topLinePunct w:val="0"/>
              <w:autoSpaceDE/>
              <w:autoSpaceDN/>
              <w:bidi w:val="0"/>
              <w:adjustRightInd/>
              <w:snapToGrid/>
              <w:spacing w:after="0" w:line="360" w:lineRule="auto"/>
              <w:ind w:right="0" w:rightChars="0"/>
              <w:jc w:val="center"/>
              <w:textAlignment w:val="auto"/>
              <w:outlineLvl w:val="9"/>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台</w:t>
            </w:r>
          </w:p>
        </w:tc>
        <w:tc>
          <w:tcPr>
            <w:tcW w:w="0" w:type="auto"/>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7.5万元</w:t>
            </w:r>
          </w:p>
        </w:tc>
        <w:tc>
          <w:tcPr>
            <w:tcW w:w="0" w:type="auto"/>
            <w:vAlign w:val="center"/>
          </w:tcPr>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15万元</w:t>
            </w:r>
          </w:p>
        </w:tc>
        <w:tc>
          <w:tcPr>
            <w:tcW w:w="0" w:type="auto"/>
            <w:vAlign w:val="center"/>
          </w:tcPr>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用于医院现有TS3200磁带库的升级，支持LTO7写入（向下兼容LTO5磁带读取），配50盒LTO7磁带</w:t>
            </w:r>
          </w:p>
        </w:tc>
      </w:tr>
    </w:tbl>
    <w:p>
      <w:pPr>
        <w:keepNext w:val="0"/>
        <w:keepLines w:val="0"/>
        <w:pageBreakBefore w:val="0"/>
        <w:kinsoku/>
        <w:wordWrap/>
        <w:overflowPunct/>
        <w:topLinePunct w:val="0"/>
        <w:autoSpaceDE/>
        <w:autoSpaceDN/>
        <w:bidi w:val="0"/>
        <w:adjustRightInd/>
        <w:snapToGrid/>
        <w:spacing w:after="0" w:line="360" w:lineRule="auto"/>
        <w:ind w:left="0" w:leftChars="0" w:right="0" w:rightChars="0" w:firstLine="482" w:firstLineChars="200"/>
        <w:jc w:val="left"/>
        <w:textAlignment w:val="auto"/>
        <w:outlineLvl w:val="9"/>
        <w:rPr>
          <w:b/>
          <w:sz w:val="24"/>
        </w:rPr>
      </w:pP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技术参数</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(一) 磁盘扩展柜</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 产品要求：高密度直连存储，支持混合和匹配不同的驱动器类型，用于高性能、高容量或两者的组合。7200rpm NL-SAS /SATA  硬盘（HDD） 与高 IOPS/低延迟 SAS 固态硬盘 （SSD） 相结合，在单个机柜或通过菊花链实现多层存储。支持高达单个链中的 4 个机柜，可以连接到多达三台服务器。</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2、外型与尺寸：标准机架式设计，高度＜6U，标配原厂导轨。</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3、兼容性：兼容现有系统（如服务器、存储阵列），并提供接口协议说明。</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4、菊花链扩展柜：每个 HBA 最多可扩展 180 个驱动器，最多可连接 2 个菊花链式扩展柜，以满足不断增长的存储容量和性能需求，标配≥90个3.5英寸热插拔硬盘槽位。</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5、双扩展模块 ：双 12Gb SAS 标准，带主动/主动故障转移。</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6、支持的驱动器：90x 热插拔 SAS 3.5英寸驱动器（4TB,6TB,8TB,10TB,12TB,14TB,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16TB,20TB），7200rpm NL SAS硬盘、400GB SSDs(2.5 英寸驱动器在3.5英寸托架)。</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7、存储容量：每个机箱最大存储容量不低于2160TB。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8、扩展：每个HBA 最多2个机柜。</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9、支持的RAID 模式：支持RAID-0、1、10、5、50、6、60（取决于主机控制器）。支持JBOD模式。</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10、电源和风扇：≥2个，热插拔/冗余80 Plus铂金电源5热插拔/冗余风扇。</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11、背板连接：每个机箱具备≥4 个 12Gbps Mini-SAS HD （SFF-8644），≥1 个 RJ45 以太网端口，用于管理。</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12、热插拔组件：硬盘、SSDs、ESMs、电源、风扇。</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13、实际配置≥84块SAS 硬盘（3.5 英寸、16TB 、7.2K）。根据现有服务器情况配套HBA卡及MiniSAS HD 8644/MiniSAS HD 8644 线缆。</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highlight w:val="yellow"/>
        </w:rPr>
      </w:pPr>
      <w:r>
        <w:rPr>
          <w:rFonts w:hint="eastAsia" w:asciiTheme="minorEastAsia" w:hAnsiTheme="minorEastAsia" w:eastAsiaTheme="minorEastAsia"/>
        </w:rPr>
        <w:t>14、阵列卡：</w:t>
      </w:r>
      <w:bookmarkStart w:id="0" w:name="OLE_LINK1"/>
      <w:r>
        <w:rPr>
          <w:rFonts w:hint="eastAsia" w:asciiTheme="minorEastAsia" w:hAnsiTheme="minorEastAsia" w:eastAsiaTheme="minorEastAsia"/>
        </w:rPr>
        <w:t>配两块磁盘阵列卡，≥8个外部接口</w:t>
      </w:r>
      <w:bookmarkEnd w:id="0"/>
      <w:r>
        <w:rPr>
          <w:rFonts w:hint="eastAsia" w:asciiTheme="minorEastAsia" w:hAnsiTheme="minorEastAsia" w:eastAsiaTheme="minorEastAsia"/>
        </w:rPr>
        <w:t>、≥8个内部接口、≥4GB Cache，≥2个Mini-SAS HD SFF8644；支持RAID1、5、6、10、50、60级别；标配CacheVault保护电容。</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rPr>
        <w:t>15、长度1米到1.5米之间的SAS外部电缆，接口适配本次磁盘扩展柜和主机阵列卡。</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 xml:space="preserve">(二) </w:t>
      </w:r>
      <w:r>
        <w:rPr>
          <w:rFonts w:hint="eastAsia" w:asciiTheme="minorEastAsia" w:hAnsiTheme="minorEastAsia" w:eastAsiaTheme="minorEastAsia"/>
          <w:b/>
          <w:bCs/>
          <w:lang w:val="zh-TW" w:eastAsia="zh-TW"/>
        </w:rPr>
        <w:t>磁带库</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1、整体要求：企业级智能化磁带库。</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2、物理规格：控制柜及扩展柜≤3U高度。</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3、支持配置的驱动器类型：LTO Ultrium 9、LTO Ultrium 8、LTO Ultrium7、LTO Ultrium 6或者SAS驱动器，可支持全高或者半高规格。</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4、最大可配驱动器数量：48个半高驱动器或者16个全高驱动器，支持混插。</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5、自带磁带驱动器类型：6个半高LTO9光纤驱动器，驱动器可置于主控制柜和扩展柜中，含6条10米光纤线。</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6、磁带槽位配置数量：≥80个，单系统最大能扩展至280个。</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7、输入输出槽位：配置≥5个I/O槽位，可按5个槽位递增,系统最大可配置35个。</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8、扩展柜支持：支持6个扩展柜。</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9、多路径架构：支持数据/控制路径切换，动态负载均衡功能。</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10、FC接口速率：≥8Gbps, 备份速率不低于360MB/s。</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11、配置的数据磁带：LTO-9数据磁带，数量≥70（含磁带标签），钡铁氧体(Barium Ferrite)。</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12、单盘磁带非压缩存储容量：≥18TB。</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13、LTO通用清洗带数量：≥4。</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14、管理功能：支持磁带库分区以及混合磁带介质管理功能。</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15、逻辑分区功能：支持动态逻辑分区功能，支持槽位在逻辑带库之间的合用，支持单个驱动器被多个逻辑带库共有。</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16、数据加密功能：磁带机具备自身硬件级加密功能，保护关键数据的安全性。</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17、Worm功能：通过一次写入多次读取（WORM) 功能，帮助确保安全性和法规合规性。</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18、电源可靠性：主控制柜和扩展柜中配备冗余电源和风扇模块。</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19、磁带机模块可靠性:磁带机支持热插拔。</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20、可支持的备份软件：Commvault/EMC NetWorker/HP Data Protector/IBM Spectrum Protect/Symantec NetBackup/联想DPA等。</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21、管理功能：提供用户可认证管理界面，可以实时显示磁带库内部的操作情况，如磁带加、卸载次数、磁带读、写的数据量等参数，支持SNMP协议。</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22、高级磁带库管理系统：支持动态存储管理，可使用户创建和更改逻辑库，以及将任一驱动器配置到任一逻辑库中。</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23、支持冗余配置的部件：包括冗余电源、风扇、机械臂、磁带机。</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24、LTFS磁带文件系统：支持LTFS文件系统，支持用户直接访问磁带上的文件。</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25、磁带库状态报告：具备报告驱动器和磁带介质的使用情况的功能，具备自动告警和分析功能，并可及时将故障报告告知用户。</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rPr>
        <w:t>26、系统兼容性：必须支持主流的操作系统如IBM AIX、HP UX、Windows Server、Linux等，支持主流的备份软件，支持主流企业级虚拟带库产品。</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asciiTheme="minorEastAsia" w:hAnsiTheme="minorEastAsia" w:eastAsiaTheme="minorEastAsia"/>
          <w:b/>
          <w:bCs/>
        </w:rPr>
      </w:pPr>
      <w:r>
        <w:rPr>
          <w:rFonts w:hint="eastAsia" w:asciiTheme="minorEastAsia" w:hAnsiTheme="minorEastAsia" w:eastAsiaTheme="minorEastAsia"/>
          <w:b/>
          <w:bCs/>
        </w:rPr>
        <w:t>(三)</w:t>
      </w:r>
      <w:r>
        <w:rPr>
          <w:rFonts w:hint="eastAsia" w:asciiTheme="minorEastAsia" w:hAnsiTheme="minorEastAsia" w:eastAsiaTheme="minorEastAsia"/>
          <w:b/>
          <w:bCs/>
          <w:lang w:val="zh-TW"/>
        </w:rPr>
        <w:t>ULT3580-TD7驱动器</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用于医院现有TS3200磁带库的升级，支持LTO7写入（向下兼容LTO5磁带读取），配50盒LTO7磁带。</w:t>
      </w:r>
    </w:p>
    <w:p>
      <w:pPr>
        <w:keepNext w:val="0"/>
        <w:keepLines w:val="0"/>
        <w:pageBreakBefore w:val="0"/>
        <w:widowControl/>
        <w:kinsoku/>
        <w:wordWrap/>
        <w:overflowPunct/>
        <w:topLinePunct w:val="0"/>
        <w:autoSpaceDE/>
        <w:autoSpaceDN/>
        <w:bidi w:val="0"/>
        <w:adjustRightInd/>
        <w:snapToGrid/>
        <w:spacing w:after="0" w:line="360" w:lineRule="auto"/>
        <w:ind w:right="0" w:rightChars="0" w:firstLine="422" w:firstLineChars="200"/>
        <w:jc w:val="left"/>
        <w:textAlignment w:val="auto"/>
        <w:outlineLvl w:val="9"/>
        <w:rPr>
          <w:rFonts w:hint="eastAsia" w:asciiTheme="minorEastAsia" w:hAnsiTheme="minorEastAsia" w:eastAsiaTheme="minorEastAsia"/>
          <w:b/>
          <w:bCs/>
          <w:lang w:val="en-US" w:eastAsia="zh-CN"/>
        </w:rPr>
      </w:pP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四</w:t>
      </w:r>
      <w:r>
        <w:rPr>
          <w:rFonts w:hint="eastAsia" w:asciiTheme="minorEastAsia" w:hAnsiTheme="minorEastAsia" w:eastAsiaTheme="minorEastAsia"/>
          <w:b/>
          <w:bCs/>
        </w:rPr>
        <w:t>)</w:t>
      </w:r>
      <w:r>
        <w:rPr>
          <w:rFonts w:hint="eastAsia" w:asciiTheme="minorEastAsia" w:hAnsiTheme="minorEastAsia" w:eastAsiaTheme="minorEastAsia"/>
          <w:b/>
          <w:bCs/>
          <w:lang w:val="en-US" w:eastAsia="zh-CN"/>
        </w:rPr>
        <w:t>其他</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项目实施所提供的辅材，需满足国标。</w:t>
      </w:r>
    </w:p>
    <w:p>
      <w:pPr>
        <w:keepNext w:val="0"/>
        <w:keepLines w:val="0"/>
        <w:pageBreakBefore w:val="0"/>
        <w:kinsoku/>
        <w:wordWrap/>
        <w:overflowPunct/>
        <w:topLinePunct w:val="0"/>
        <w:autoSpaceDE/>
        <w:autoSpaceDN/>
        <w:bidi w:val="0"/>
        <w:adjustRightInd/>
        <w:snapToGrid/>
        <w:spacing w:after="0" w:line="360" w:lineRule="auto"/>
        <w:ind w:right="0" w:rightChars="0"/>
        <w:jc w:val="left"/>
        <w:textAlignment w:val="auto"/>
        <w:outlineLvl w:val="9"/>
        <w:rPr>
          <w:rFonts w:ascii="宋体" w:hAnsi="宋体"/>
          <w:b/>
          <w:sz w:val="24"/>
        </w:rPr>
      </w:pPr>
      <w:r>
        <w:rPr>
          <w:rFonts w:hint="eastAsia" w:ascii="宋体" w:hAnsi="宋体"/>
          <w:b/>
          <w:sz w:val="24"/>
        </w:rPr>
        <w:t>四、质量要求</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b/>
          <w:sz w:val="24"/>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b/>
          <w:sz w:val="24"/>
        </w:rPr>
      </w:pPr>
      <w:r>
        <w:rPr>
          <w:rFonts w:hint="eastAsia"/>
          <w:b/>
          <w:sz w:val="24"/>
        </w:rPr>
        <w:t>五、服务要求</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、服务商须提供不少于三年的原厂保修及售后服务，若国家或生产厂家对本项目所涉及货物质量保证期的规定高于本项目的要求，应按国家或生产厂家的规定执行。</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FF0000"/>
        </w:rPr>
      </w:pPr>
      <w:r>
        <w:rPr>
          <w:rFonts w:asciiTheme="minorEastAsia" w:hAnsiTheme="minorEastAsia" w:eastAsiaTheme="minorEastAsia"/>
        </w:rPr>
        <w:t>2</w:t>
      </w:r>
      <w:r>
        <w:rPr>
          <w:rFonts w:hint="eastAsia" w:asciiTheme="minorEastAsia" w:hAnsiTheme="minorEastAsia" w:eastAsiaTheme="minorEastAsia"/>
        </w:rPr>
        <w:t>、</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cs="宋体" w:asciiTheme="minorEastAsia" w:hAnsiTheme="minorEastAsia" w:eastAsiaTheme="minorEastAsia"/>
          <w:szCs w:val="21"/>
        </w:rPr>
        <w:t>3、在免费维护期内，乙方提供技</w:t>
      </w:r>
      <w:r>
        <w:rPr>
          <w:rFonts w:hint="eastAsia" w:asciiTheme="minorEastAsia" w:hAnsiTheme="minorEastAsia" w:eastAsiaTheme="minorEastAsia"/>
        </w:rPr>
        <w:t>术支持和指导，故障情况下的现场问题解决。</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4、售后服务响应时间：</w:t>
      </w:r>
      <w:r>
        <w:rPr>
          <w:rFonts w:asciiTheme="minorEastAsia" w:hAnsiTheme="minorEastAsia" w:eastAsiaTheme="minorEastAsia"/>
        </w:rPr>
        <w:t>供应商应提供</w:t>
      </w:r>
      <w:r>
        <w:rPr>
          <w:rFonts w:hint="eastAsia" w:asciiTheme="minorEastAsia" w:hAnsiTheme="minorEastAsia" w:eastAsiaTheme="minorEastAsia"/>
        </w:rPr>
        <w:t>7*24小时</w:t>
      </w:r>
      <w:r>
        <w:rPr>
          <w:rFonts w:asciiTheme="minorEastAsia" w:hAnsiTheme="minorEastAsia" w:eastAsiaTheme="minorEastAsia"/>
        </w:rPr>
        <w:t>的现场支援、技术咨询和故障受理服务，在</w:t>
      </w:r>
      <w:r>
        <w:rPr>
          <w:rFonts w:hint="eastAsia" w:asciiTheme="minorEastAsia" w:hAnsiTheme="minorEastAsia" w:eastAsiaTheme="minorEastAsia"/>
        </w:rPr>
        <w:t>质保</w:t>
      </w:r>
      <w:r>
        <w:rPr>
          <w:rFonts w:asciiTheme="minorEastAsia" w:hAnsiTheme="minorEastAsia" w:eastAsiaTheme="minorEastAsia"/>
        </w:rPr>
        <w:t>期内，供应商响应时间</w:t>
      </w:r>
      <w:r>
        <w:rPr>
          <w:rFonts w:hint="eastAsia" w:asciiTheme="minorEastAsia" w:hAnsiTheme="minorEastAsia" w:eastAsiaTheme="minorEastAsia"/>
        </w:rPr>
        <w:t>为30分</w:t>
      </w:r>
      <w:r>
        <w:rPr>
          <w:rFonts w:asciiTheme="minorEastAsia" w:hAnsiTheme="minorEastAsia" w:eastAsiaTheme="minorEastAsia"/>
        </w:rPr>
        <w:t>钟</w:t>
      </w:r>
      <w:r>
        <w:rPr>
          <w:rFonts w:hint="eastAsia" w:asciiTheme="minorEastAsia" w:hAnsiTheme="minorEastAsia" w:eastAsiaTheme="minorEastAsia"/>
        </w:rPr>
        <w:t>内</w:t>
      </w:r>
      <w:r>
        <w:rPr>
          <w:rFonts w:asciiTheme="minorEastAsia" w:hAnsiTheme="minorEastAsia" w:eastAsiaTheme="minorEastAsia"/>
        </w:rPr>
        <w:t>，</w:t>
      </w:r>
      <w:r>
        <w:rPr>
          <w:rFonts w:hint="eastAsia" w:asciiTheme="minorEastAsia" w:hAnsiTheme="minorEastAsia" w:eastAsiaTheme="minorEastAsia"/>
        </w:rPr>
        <w:t>如无法解决，应在4小时内到达现场进行维修。</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b/>
          <w:sz w:val="24"/>
        </w:rPr>
      </w:pPr>
      <w:r>
        <w:rPr>
          <w:rFonts w:hint="eastAsia" w:asciiTheme="minorEastAsia" w:hAnsiTheme="minorEastAsia" w:eastAsiaTheme="minorEastAsia"/>
        </w:rPr>
        <w:t>5、供应商需上门进行安装及技术支持，以现场服务为主，其它电话指导、邮件指导、远程维护、技术交流等</w:t>
      </w:r>
      <w:r>
        <w:rPr>
          <w:rFonts w:asciiTheme="minorEastAsia" w:hAnsiTheme="minorEastAsia" w:eastAsiaTheme="minorEastAsia"/>
        </w:rPr>
        <w:t>服务</w:t>
      </w:r>
      <w:r>
        <w:rPr>
          <w:rFonts w:hint="eastAsia" w:asciiTheme="minorEastAsia" w:hAnsiTheme="minorEastAsia" w:eastAsiaTheme="minorEastAsia"/>
        </w:rPr>
        <w:t>方式不限。</w:t>
      </w:r>
    </w:p>
    <w:p>
      <w:pPr>
        <w:keepNext w:val="0"/>
        <w:keepLines w:val="0"/>
        <w:pageBreakBefore w:val="0"/>
        <w:widowControl/>
        <w:kinsoku/>
        <w:wordWrap/>
        <w:overflowPunct/>
        <w:topLinePunct w:val="0"/>
        <w:autoSpaceDE/>
        <w:autoSpaceDN/>
        <w:bidi w:val="0"/>
        <w:adjustRightInd/>
        <w:snapToGrid/>
        <w:spacing w:after="0" w:line="360" w:lineRule="auto"/>
        <w:ind w:right="0" w:rightChars="0"/>
        <w:jc w:val="left"/>
        <w:textAlignment w:val="auto"/>
        <w:outlineLvl w:val="9"/>
        <w:rPr>
          <w:sz w:val="24"/>
        </w:rPr>
      </w:pPr>
      <w:r>
        <w:rPr>
          <w:rFonts w:hint="eastAsia"/>
          <w:b/>
          <w:sz w:val="24"/>
        </w:rPr>
        <w:t>六、验收与结算</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color w:val="000000"/>
        </w:rPr>
      </w:pPr>
      <w:r>
        <w:rPr>
          <w:rFonts w:hint="eastAsia" w:cs="宋体" w:asciiTheme="minorEastAsia" w:hAnsiTheme="minorEastAsia" w:eastAsiaTheme="minorEastAsia"/>
          <w:szCs w:val="21"/>
        </w:rPr>
        <w:t>1、供应商将货物送到采购人指定地点，安装调试后按</w:t>
      </w:r>
      <w:r>
        <w:rPr>
          <w:rFonts w:hint="eastAsia" w:asciiTheme="minorEastAsia" w:hAnsiTheme="minorEastAsia" w:eastAsiaTheme="minorEastAsia"/>
          <w:color w:val="000000"/>
        </w:rPr>
        <w:t>国家相关标准、行业标准及项目要求进行验收</w:t>
      </w:r>
      <w:r>
        <w:rPr>
          <w:rFonts w:asciiTheme="minorEastAsia" w:hAnsiTheme="minorEastAsia" w:eastAsiaTheme="minorEastAsia"/>
          <w:color w:val="000000"/>
        </w:rPr>
        <w:t>。</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color w:val="000000"/>
        </w:rPr>
        <w:t>2、供应商需将所有设备的用户手册、保修手册、有关单证资料及配备件、随机工具等交付给采购人。</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cs="宋体" w:asciiTheme="minorEastAsia" w:hAnsiTheme="minorEastAsia" w:eastAsiaTheme="minorEastAsia"/>
          <w:szCs w:val="21"/>
        </w:rPr>
      </w:pPr>
      <w:r>
        <w:rPr>
          <w:rFonts w:hint="eastAsia" w:asciiTheme="minorEastAsia" w:hAnsiTheme="minorEastAsia" w:eastAsiaTheme="minorEastAsia"/>
          <w:color w:val="000000"/>
        </w:rPr>
        <w:t>3、供应商须提供免费的培训服务，直接采购人熟悉设备操作及日常保养为止。</w:t>
      </w:r>
    </w:p>
    <w:p>
      <w:pPr>
        <w:keepNext w:val="0"/>
        <w:keepLines w:val="0"/>
        <w:pageBreakBefore w:val="0"/>
        <w:kinsoku/>
        <w:wordWrap/>
        <w:overflowPunct/>
        <w:topLinePunct w:val="0"/>
        <w:autoSpaceDE/>
        <w:autoSpaceDN/>
        <w:bidi w:val="0"/>
        <w:adjustRightInd/>
        <w:snapToGrid/>
        <w:spacing w:after="0" w:line="360" w:lineRule="auto"/>
        <w:ind w:right="0" w:rightChars="0" w:firstLine="420" w:firstLineChars="200"/>
        <w:jc w:val="left"/>
        <w:textAlignment w:val="auto"/>
        <w:outlineLvl w:val="9"/>
        <w:rPr>
          <w:rFonts w:asciiTheme="minorEastAsia" w:hAnsiTheme="minorEastAsia" w:eastAsiaTheme="minorEastAsia"/>
        </w:rPr>
      </w:pPr>
      <w:r>
        <w:rPr>
          <w:rFonts w:hint="eastAsia" w:asciiTheme="minorEastAsia" w:hAnsiTheme="minorEastAsia" w:eastAsiaTheme="minorEastAsia"/>
        </w:rPr>
        <w:t>4、项目</w:t>
      </w:r>
      <w:r>
        <w:rPr>
          <w:rFonts w:asciiTheme="minorEastAsia" w:hAnsiTheme="minorEastAsia" w:eastAsiaTheme="minorEastAsia"/>
        </w:rPr>
        <w:t>验收合格，凭</w:t>
      </w:r>
      <w:r>
        <w:rPr>
          <w:rFonts w:hint="eastAsia" w:asciiTheme="minorEastAsia" w:hAnsiTheme="minorEastAsia" w:eastAsiaTheme="minorEastAsia"/>
        </w:rPr>
        <w:t>供应商</w:t>
      </w:r>
      <w:r>
        <w:rPr>
          <w:rFonts w:asciiTheme="minorEastAsia" w:hAnsiTheme="minorEastAsia" w:eastAsiaTheme="minorEastAsia"/>
        </w:rPr>
        <w:t>开具的全额发票</w:t>
      </w:r>
      <w:r>
        <w:rPr>
          <w:rFonts w:hint="eastAsia" w:asciiTheme="minorEastAsia" w:hAnsiTheme="minorEastAsia" w:eastAsiaTheme="minorEastAsia"/>
        </w:rPr>
        <w:t>和验收资料</w:t>
      </w:r>
      <w:r>
        <w:rPr>
          <w:rFonts w:asciiTheme="minorEastAsia" w:hAnsiTheme="minorEastAsia" w:eastAsiaTheme="minorEastAsia"/>
        </w:rPr>
        <w:t>，</w:t>
      </w:r>
      <w:r>
        <w:rPr>
          <w:rFonts w:hint="eastAsia" w:asciiTheme="minorEastAsia" w:hAnsiTheme="minorEastAsia" w:eastAsiaTheme="minorEastAsia"/>
        </w:rPr>
        <w:t>采购</w:t>
      </w:r>
      <w:r>
        <w:rPr>
          <w:rFonts w:asciiTheme="minorEastAsia" w:hAnsiTheme="minorEastAsia" w:eastAsiaTheme="minorEastAsia"/>
        </w:rPr>
        <w:t>人于60</w:t>
      </w:r>
      <w:r>
        <w:rPr>
          <w:rFonts w:hint="eastAsia" w:asciiTheme="minorEastAsia" w:hAnsiTheme="minorEastAsia" w:eastAsiaTheme="minorEastAsia"/>
        </w:rPr>
        <w:t>个自然日</w:t>
      </w:r>
      <w:r>
        <w:rPr>
          <w:rFonts w:asciiTheme="minorEastAsia" w:hAnsiTheme="minorEastAsia" w:eastAsiaTheme="minorEastAsia"/>
        </w:rPr>
        <w:t>内支付</w:t>
      </w:r>
      <w:r>
        <w:rPr>
          <w:rFonts w:hint="eastAsia" w:asciiTheme="minorEastAsia" w:hAnsiTheme="minorEastAsia" w:eastAsiaTheme="minorEastAsia"/>
        </w:rPr>
        <w:t>合同款项；如中标人为中小企业，按中小企业相关法律法规或政策执行。</w:t>
      </w: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62464"/>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047E"/>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291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20BC"/>
    <w:rsid w:val="0075628B"/>
    <w:rsid w:val="00761A5E"/>
    <w:rsid w:val="00774CF0"/>
    <w:rsid w:val="00783D5E"/>
    <w:rsid w:val="00786F4C"/>
    <w:rsid w:val="00790422"/>
    <w:rsid w:val="00797CEC"/>
    <w:rsid w:val="007A07C9"/>
    <w:rsid w:val="007A1306"/>
    <w:rsid w:val="007A1A44"/>
    <w:rsid w:val="007A4C9C"/>
    <w:rsid w:val="007B0D80"/>
    <w:rsid w:val="007B2275"/>
    <w:rsid w:val="007B33A7"/>
    <w:rsid w:val="007B64B0"/>
    <w:rsid w:val="007D7C20"/>
    <w:rsid w:val="007F4827"/>
    <w:rsid w:val="007F6302"/>
    <w:rsid w:val="008027AE"/>
    <w:rsid w:val="00804208"/>
    <w:rsid w:val="008069AD"/>
    <w:rsid w:val="00806DEF"/>
    <w:rsid w:val="00815D7C"/>
    <w:rsid w:val="008210D3"/>
    <w:rsid w:val="008216E8"/>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0F46"/>
    <w:rsid w:val="00961ED6"/>
    <w:rsid w:val="009660B8"/>
    <w:rsid w:val="0097057D"/>
    <w:rsid w:val="009708C2"/>
    <w:rsid w:val="009753E1"/>
    <w:rsid w:val="0098197F"/>
    <w:rsid w:val="0098457D"/>
    <w:rsid w:val="0098731F"/>
    <w:rsid w:val="00990E9A"/>
    <w:rsid w:val="00994317"/>
    <w:rsid w:val="00994B39"/>
    <w:rsid w:val="00996C0B"/>
    <w:rsid w:val="00997EC3"/>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6DC4"/>
    <w:rsid w:val="00A47B03"/>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5AA9"/>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D103A4"/>
    <w:rsid w:val="00D11AB9"/>
    <w:rsid w:val="00D12C88"/>
    <w:rsid w:val="00D1617B"/>
    <w:rsid w:val="00D1688F"/>
    <w:rsid w:val="00D26953"/>
    <w:rsid w:val="00D30629"/>
    <w:rsid w:val="00D44C81"/>
    <w:rsid w:val="00D45387"/>
    <w:rsid w:val="00D45864"/>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5452"/>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3293"/>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C0F55"/>
    <w:rsid w:val="00FD7B94"/>
    <w:rsid w:val="00FE395D"/>
    <w:rsid w:val="00FE3AC0"/>
    <w:rsid w:val="00FE4547"/>
    <w:rsid w:val="00FF21C2"/>
    <w:rsid w:val="00FF5903"/>
    <w:rsid w:val="00FF638B"/>
    <w:rsid w:val="0795504D"/>
    <w:rsid w:val="09B51D6F"/>
    <w:rsid w:val="0B94316B"/>
    <w:rsid w:val="1D6E3E93"/>
    <w:rsid w:val="224D18FA"/>
    <w:rsid w:val="2AB130DB"/>
    <w:rsid w:val="308E426C"/>
    <w:rsid w:val="328C6A9C"/>
    <w:rsid w:val="33202FF1"/>
    <w:rsid w:val="3547008D"/>
    <w:rsid w:val="381F7624"/>
    <w:rsid w:val="4DCE517F"/>
    <w:rsid w:val="4F020E80"/>
    <w:rsid w:val="4F4C0948"/>
    <w:rsid w:val="543D35CB"/>
    <w:rsid w:val="5C7727E9"/>
    <w:rsid w:val="61960834"/>
    <w:rsid w:val="674A3233"/>
    <w:rsid w:val="73A23CF3"/>
    <w:rsid w:val="74014D3F"/>
    <w:rsid w:val="79805345"/>
    <w:rsid w:val="7E706B90"/>
    <w:rsid w:val="7FA701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2">
    <w:name w:val="Default Paragraph Font"/>
    <w:unhideWhenUsed/>
    <w:qFormat/>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列表段落1"/>
    <w:basedOn w:val="1"/>
    <w:qFormat/>
    <w:uiPriority w:val="34"/>
    <w:pPr>
      <w:ind w:firstLine="420" w:firstLineChars="200"/>
    </w:pPr>
  </w:style>
  <w:style w:type="character" w:customStyle="1" w:styleId="21">
    <w:name w:val="font41"/>
    <w:basedOn w:val="12"/>
    <w:qFormat/>
    <w:uiPriority w:val="0"/>
    <w:rPr>
      <w:rFonts w:ascii="Calibri" w:hAnsi="Calibri" w:cs="Calibri"/>
      <w:color w:val="000000"/>
      <w:sz w:val="21"/>
      <w:szCs w:val="21"/>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 w:type="paragraph" w:customStyle="1" w:styleId="23">
    <w:name w:val="Default"/>
    <w:qFormat/>
    <w:uiPriority w:val="0"/>
    <w:pPr>
      <w:widowControl w:val="0"/>
      <w:autoSpaceDE w:val="0"/>
      <w:autoSpaceDN w:val="0"/>
      <w:adjustRightInd w:val="0"/>
      <w:spacing w:after="160" w:line="278" w:lineRule="auto"/>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502</Words>
  <Characters>2866</Characters>
  <Lines>23</Lines>
  <Paragraphs>6</Paragraphs>
  <TotalTime>2</TotalTime>
  <ScaleCrop>false</ScaleCrop>
  <LinksUpToDate>false</LinksUpToDate>
  <CharactersWithSpaces>3362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2025-06-06T05:52:00Z</dcterms:created>
  <dc:creator>xz1</dc:creator>
  <cp:lastModifiedBy>1</cp:lastModifiedBy>
  <cp:lastPrinted>2023-12-14T10:29:00Z</cp:lastPrinted>
  <dcterms:modified xsi:type="dcterms:W3CDTF">2025-06-09T08:40:13Z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2C75BE3C294C4FBD99F1D1892FDCF162</vt:lpwstr>
  </property>
</Properties>
</file>