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sz w:val="24"/>
        </w:rPr>
      </w:pPr>
      <w:r>
        <w:rPr>
          <w:rFonts w:hint="eastAsia"/>
          <w:b/>
          <w:sz w:val="24"/>
        </w:rPr>
        <w:t>一、项目基本情况</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1、项目名称：中山市中医院网络安全设备采购项目</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2、项目内容：为应对愈演愈烈的网络安全形式，满足医院安全运维需求，医院拟通过增购安全设备协助完善技术防护体系，强化访问和运维流程，确保访问与操作行为遵循最小化授权原则、确保运维操作行为受到全面审计和管控，构建覆盖事前预防、事中监测、事后响应的闭环安全运营体系，加固网络安全。</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3、项目上限价：￥332000元，超过采购上限价的属于无效响应。</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bookmarkStart w:id="0" w:name="_GoBack"/>
      <w:bookmarkEnd w:id="0"/>
    </w:p>
    <w:p>
      <w:pPr>
        <w:keepNext w:val="0"/>
        <w:keepLines w:val="0"/>
        <w:pageBreakBefore w:val="0"/>
        <w:kinsoku/>
        <w:wordWrap/>
        <w:overflowPunct/>
        <w:topLinePunct w:val="0"/>
        <w:autoSpaceDE/>
        <w:autoSpaceDN/>
        <w:bidi w:val="0"/>
        <w:adjustRightInd/>
        <w:snapToGrid/>
        <w:spacing w:after="0" w:line="360" w:lineRule="auto"/>
        <w:ind w:right="0" w:rightChars="0"/>
        <w:textAlignment w:val="auto"/>
        <w:outlineLvl w:val="9"/>
        <w:rPr>
          <w:b/>
          <w:sz w:val="24"/>
        </w:rPr>
      </w:pPr>
      <w:r>
        <w:rPr>
          <w:rFonts w:hint="eastAsia"/>
          <w:b/>
          <w:sz w:val="24"/>
        </w:rPr>
        <w:t>二、采购</w:t>
      </w:r>
      <w:r>
        <w:rPr>
          <w:b/>
          <w:sz w:val="24"/>
        </w:rPr>
        <w:t>清单</w:t>
      </w:r>
    </w:p>
    <w:tbl>
      <w:tblPr>
        <w:tblStyle w:val="10"/>
        <w:tblpPr w:leftFromText="180" w:rightFromText="180" w:vertAnchor="text" w:horzAnchor="page" w:tblpXSpec="center" w:tblpY="3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333"/>
        <w:gridCol w:w="798"/>
        <w:gridCol w:w="881"/>
        <w:gridCol w:w="1663"/>
        <w:gridCol w:w="1664"/>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3"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2"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468"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517"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976" w:type="pct"/>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预算单价</w:t>
            </w:r>
          </w:p>
        </w:tc>
        <w:tc>
          <w:tcPr>
            <w:tcW w:w="976" w:type="pct"/>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预算总价</w:t>
            </w:r>
          </w:p>
        </w:tc>
        <w:tc>
          <w:tcPr>
            <w:tcW w:w="976"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03"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2" w:type="pct"/>
            <w:vAlign w:val="center"/>
          </w:tcPr>
          <w:p>
            <w:pPr>
              <w:widowControl/>
              <w:tabs>
                <w:tab w:val="center" w:pos="4363"/>
              </w:tabs>
              <w:spacing w:line="360" w:lineRule="auto"/>
              <w:jc w:val="center"/>
              <w:rPr>
                <w:rFonts w:hint="eastAsia" w:asciiTheme="minorEastAsia" w:hAnsiTheme="minorEastAsia" w:eastAsiaTheme="minorEastAsia"/>
              </w:rPr>
            </w:pPr>
            <w:r>
              <w:rPr>
                <w:rFonts w:hint="eastAsia" w:asciiTheme="minorEastAsia" w:hAnsiTheme="minorEastAsia" w:eastAsiaTheme="minorEastAsia"/>
              </w:rPr>
              <w:t>堡垒机</w:t>
            </w:r>
          </w:p>
        </w:tc>
        <w:tc>
          <w:tcPr>
            <w:tcW w:w="468"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517"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976" w:type="pct"/>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17万元</w:t>
            </w:r>
          </w:p>
        </w:tc>
        <w:tc>
          <w:tcPr>
            <w:tcW w:w="976"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17万元</w:t>
            </w:r>
          </w:p>
        </w:tc>
        <w:tc>
          <w:tcPr>
            <w:tcW w:w="976" w:type="pct"/>
            <w:vAlign w:val="center"/>
          </w:tcPr>
          <w:p>
            <w:pPr>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03"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2" w:type="pct"/>
            <w:vAlign w:val="center"/>
          </w:tcPr>
          <w:p>
            <w:pPr>
              <w:widowControl/>
              <w:tabs>
                <w:tab w:val="center" w:pos="4363"/>
              </w:tabs>
              <w:spacing w:line="360" w:lineRule="auto"/>
              <w:jc w:val="center"/>
              <w:rPr>
                <w:rFonts w:hint="eastAsia" w:asciiTheme="minorEastAsia" w:hAnsiTheme="minorEastAsia" w:eastAsiaTheme="minorEastAsia"/>
              </w:rPr>
            </w:pPr>
            <w:r>
              <w:rPr>
                <w:rFonts w:hint="eastAsia" w:asciiTheme="minorEastAsia" w:hAnsiTheme="minorEastAsia" w:eastAsiaTheme="minorEastAsia"/>
              </w:rPr>
              <w:t>零信任综合网关</w:t>
            </w:r>
          </w:p>
        </w:tc>
        <w:tc>
          <w:tcPr>
            <w:tcW w:w="468"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517"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976" w:type="pct"/>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16.2万元</w:t>
            </w:r>
          </w:p>
        </w:tc>
        <w:tc>
          <w:tcPr>
            <w:tcW w:w="976" w:type="pct"/>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16.2万元</w:t>
            </w:r>
          </w:p>
        </w:tc>
        <w:tc>
          <w:tcPr>
            <w:tcW w:w="976" w:type="pct"/>
            <w:vAlign w:val="center"/>
          </w:tcPr>
          <w:p>
            <w:pPr>
              <w:jc w:val="center"/>
              <w:rPr>
                <w:rFonts w:hint="eastAsia" w:asciiTheme="minorEastAsia" w:hAnsiTheme="minorEastAsia" w:eastAsiaTheme="minorEastAsia" w:cstheme="minorEastAsia"/>
                <w:szCs w:val="21"/>
              </w:rPr>
            </w:pPr>
          </w:p>
        </w:tc>
      </w:tr>
    </w:tbl>
    <w:p>
      <w:pPr>
        <w:spacing w:line="360" w:lineRule="auto"/>
        <w:rPr>
          <w:b/>
          <w:sz w:val="24"/>
        </w:rPr>
      </w:pP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技术参数</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（一）堡垒机</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1. 提供不少于500个运维安全管理系统授权，运维最大并发数不少于200，字符运维最大并发数不少于350.</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2. 支持对运维人员的操作方法、过程和结果进行全方位记录，支持“行为重现”，以便对操作行为的真实性、正确性、合规性进行审查和监督，同时加强账号管理和权限控制。</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3. 支持双因素认证。</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4. 支持监控正在运维的会话，信息包括运维用户、运维客户端地址、资源地址、协议、开始时间等，并可以实时阻断，便于追踪和溯源。</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5. 支持提供系统内部操作审计，包括管理员和运维用户的登录、登出、对系统的配置操作、账号属性修改等系统管理操作。</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6. 提供命令审计、内容审计和录像审计等多种审计方式，确保对不同设备和访问方式的操作都有详尽的审计记录。</w:t>
      </w:r>
    </w:p>
    <w:p>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ascii="宋体" w:hAnsi="宋体"/>
          <w:b/>
          <w:sz w:val="24"/>
        </w:rPr>
      </w:pPr>
      <w:r>
        <w:rPr>
          <w:rFonts w:hint="eastAsia" w:ascii="宋体" w:hAnsi="宋体" w:cs="宋体"/>
          <w:color w:val="000000"/>
          <w:szCs w:val="21"/>
        </w:rPr>
        <w:t>7</w:t>
      </w:r>
      <w:r>
        <w:rPr>
          <w:rFonts w:hint="eastAsia" w:asciiTheme="minorEastAsia" w:hAnsiTheme="minorEastAsia" w:eastAsiaTheme="minorEastAsia"/>
        </w:rPr>
        <w:t xml:space="preserve">. </w:t>
      </w:r>
      <w:r>
        <w:rPr>
          <w:rFonts w:hint="eastAsia" w:ascii="宋体" w:hAnsi="宋体" w:cs="宋体"/>
          <w:color w:val="000000"/>
          <w:szCs w:val="21"/>
        </w:rPr>
        <w:t>硬件参数：规格≤2U，内存≥8G，硬盘容量：系统盘≥128GB SSD，存储盘≥2TB SATA，电源：冗余电源，接口≥6千兆电口+2万兆光口SFP+。</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（二）零信任综合网关</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1. 产品具备国家商用密码认证资质，零信任接入授权不少于200个。</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2. 符合国家商用密码标准、具备国密资质，支持SM1/SM2/SM3/SM4国密算法，支持使用国密算法进行用户登录、访问隧道应用。</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3. 采用双因素认证和多维度动态授权，同时支持多种认证方式，包括本地认证、外部认证（如LDAP、Radius等）、短信认证、证书认证等，确保用户身份的合法性。</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4. 支持自适应身份认证，实现认证安全增强，当用户访问使用弱密码时需进行增强认证、当用户在异常时间段登录时需进行增强认证、当用户在异地登录时，必须进行增强认证。</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5. 支持动态权限控制，能够根据用户的身份、设备状态和环境变化，动态调整加密策略，风险场景下收缩访问权限以降低入侵风险，并按身份、角色及需求为单个用户提供各种精细化权限分配，实现业务按需最小化权限原则进行授权。</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宋体" w:hAnsi="宋体" w:cs="宋体"/>
          <w:color w:val="000000"/>
          <w:szCs w:val="21"/>
        </w:rPr>
      </w:pPr>
      <w:r>
        <w:rPr>
          <w:rFonts w:hint="eastAsia" w:ascii="宋体" w:hAnsi="宋体" w:cs="宋体"/>
          <w:color w:val="000000"/>
          <w:szCs w:val="21"/>
        </w:rPr>
        <w:t>6</w:t>
      </w:r>
      <w:r>
        <w:rPr>
          <w:rFonts w:hint="eastAsia" w:asciiTheme="minorEastAsia" w:hAnsiTheme="minorEastAsia" w:eastAsiaTheme="minorEastAsia"/>
        </w:rPr>
        <w:t xml:space="preserve">. </w:t>
      </w:r>
      <w:r>
        <w:rPr>
          <w:rFonts w:hint="eastAsia" w:ascii="宋体" w:hAnsi="宋体" w:cs="宋体"/>
          <w:color w:val="000000"/>
          <w:szCs w:val="21"/>
        </w:rPr>
        <w:t>硬件参数：规格：≤2U，内存≥16G，硬盘容量≥128G SSD，电源：冗余电源，接口不少于6千兆电口+4千兆光口SFP。</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hint="eastAsia" w:ascii="宋体" w:hAnsi="宋体" w:cs="宋体"/>
          <w:color w:val="000000"/>
          <w:szCs w:val="21"/>
        </w:rPr>
      </w:pP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宋体" w:hAnsi="宋体"/>
          <w:b/>
          <w:sz w:val="24"/>
        </w:rPr>
      </w:pPr>
      <w:r>
        <w:rPr>
          <w:rFonts w:hint="eastAsia" w:ascii="宋体" w:hAnsi="宋体"/>
          <w:b/>
          <w:sz w:val="24"/>
        </w:rPr>
        <w:t>四、质量要求</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82" w:firstLineChars="200"/>
        <w:jc w:val="left"/>
        <w:textAlignment w:val="auto"/>
        <w:outlineLvl w:val="9"/>
        <w:rPr>
          <w:b/>
          <w:sz w:val="24"/>
        </w:rPr>
      </w:pPr>
    </w:p>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b/>
          <w:sz w:val="24"/>
        </w:rPr>
      </w:pPr>
      <w:r>
        <w:rPr>
          <w:rFonts w:hint="eastAsia"/>
          <w:b/>
          <w:sz w:val="24"/>
        </w:rPr>
        <w:t>五、服务要求</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、供应商须提供不少于3年的软件升级及产品质保服务，若国家或生产厂家对本项目所涉及货物质量保证期的规定高于本项目的要求，应按国家或生产厂家的规定执行。</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cs="宋体" w:asciiTheme="minorEastAsia" w:hAnsiTheme="minorEastAsia" w:eastAsiaTheme="minorEastAsia"/>
          <w:szCs w:val="21"/>
        </w:rPr>
        <w:t>3、在免费维护期内，乙方提供技</w:t>
      </w:r>
      <w:r>
        <w:rPr>
          <w:rFonts w:hint="eastAsia" w:asciiTheme="minorEastAsia" w:hAnsiTheme="minorEastAsia" w:eastAsiaTheme="minorEastAsia"/>
        </w:rPr>
        <w:t>术支持和指导，故障情况下的现场问题解决。</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4、售后服务响应时间：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的现场支援、技术咨询和故障受理服务，在</w:t>
      </w:r>
      <w:r>
        <w:rPr>
          <w:rFonts w:hint="eastAsia" w:asciiTheme="minorEastAsia" w:hAnsiTheme="minorEastAsia" w:eastAsiaTheme="minorEastAsia"/>
        </w:rPr>
        <w:t>质保</w:t>
      </w:r>
      <w:r>
        <w:rPr>
          <w:rFonts w:asciiTheme="minorEastAsia" w:hAnsiTheme="minorEastAsia" w:eastAsiaTheme="minorEastAsia"/>
        </w:rPr>
        <w:t>期内，供应商响应时间</w:t>
      </w:r>
      <w:r>
        <w:rPr>
          <w:rFonts w:hint="eastAsia" w:asciiTheme="minorEastAsia" w:hAnsiTheme="minorEastAsia" w:eastAsiaTheme="minorEastAsia"/>
        </w:rPr>
        <w:t>为30分</w:t>
      </w:r>
      <w:r>
        <w:rPr>
          <w:rFonts w:asciiTheme="minorEastAsia" w:hAnsiTheme="minorEastAsia" w:eastAsiaTheme="minorEastAsia"/>
        </w:rPr>
        <w:t>钟</w:t>
      </w:r>
      <w:r>
        <w:rPr>
          <w:rFonts w:hint="eastAsia" w:asciiTheme="minorEastAsia" w:hAnsiTheme="minorEastAsia" w:eastAsiaTheme="minorEastAsia"/>
        </w:rPr>
        <w:t>内</w:t>
      </w:r>
      <w:r>
        <w:rPr>
          <w:rFonts w:asciiTheme="minorEastAsia" w:hAnsiTheme="minorEastAsia" w:eastAsiaTheme="minorEastAsia"/>
        </w:rPr>
        <w:t>，</w:t>
      </w:r>
      <w:r>
        <w:rPr>
          <w:rFonts w:hint="eastAsia" w:asciiTheme="minorEastAsia" w:hAnsiTheme="minorEastAsia" w:eastAsiaTheme="minorEastAsia"/>
        </w:rPr>
        <w:t>如无法解决，应在4小时内到达现场进行维修。</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5、供应商需上门进行安装及技术支持，以现场服务为主，其它电话指导、邮件指导、远程维护、技术交流等</w:t>
      </w:r>
      <w:r>
        <w:rPr>
          <w:rFonts w:asciiTheme="minorEastAsia" w:hAnsiTheme="minorEastAsia" w:eastAsiaTheme="minorEastAsia"/>
        </w:rPr>
        <w:t>服务</w:t>
      </w:r>
      <w:r>
        <w:rPr>
          <w:rFonts w:hint="eastAsia" w:asciiTheme="minorEastAsia" w:hAnsiTheme="minorEastAsia" w:eastAsiaTheme="minorEastAsia"/>
        </w:rPr>
        <w:t>方式不限。</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82" w:firstLineChars="200"/>
        <w:jc w:val="left"/>
        <w:textAlignment w:val="auto"/>
        <w:outlineLvl w:val="9"/>
        <w:rPr>
          <w:b/>
          <w:sz w:val="24"/>
        </w:rPr>
      </w:pPr>
    </w:p>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sz w:val="24"/>
        </w:rPr>
      </w:pPr>
      <w:r>
        <w:rPr>
          <w:rFonts w:hint="eastAsia"/>
          <w:b/>
          <w:sz w:val="24"/>
        </w:rPr>
        <w:t>六、验收与结算</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hint="eastAsia" w:asciiTheme="minorEastAsia" w:hAnsiTheme="minorEastAsia" w:eastAsiaTheme="minorEastAsia"/>
        </w:rPr>
      </w:pPr>
    </w:p>
    <w:p>
      <w:pPr>
        <w:spacing w:line="360" w:lineRule="auto"/>
        <w:rPr>
          <w:rFonts w:hint="eastAsia" w:asciiTheme="minorEastAsia" w:hAnsiTheme="minorEastAsia" w:eastAsiaTheme="minorEastAsia"/>
        </w:rPr>
      </w:pPr>
    </w:p>
    <w:p>
      <w:pPr>
        <w:spacing w:line="360" w:lineRule="auto"/>
        <w:rPr>
          <w:rFonts w:hint="eastAsia" w:asciiTheme="minorEastAsia" w:hAnsiTheme="minorEastAsia" w:eastAsiaTheme="minor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19F1"/>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5FA9"/>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506B"/>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A07B1"/>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09B51D6F"/>
    <w:rsid w:val="20BC2CB6"/>
    <w:rsid w:val="256E0F84"/>
    <w:rsid w:val="308E426C"/>
    <w:rsid w:val="33202FF1"/>
    <w:rsid w:val="3547008D"/>
    <w:rsid w:val="381F7624"/>
    <w:rsid w:val="38801DFE"/>
    <w:rsid w:val="4009675F"/>
    <w:rsid w:val="4C9C2C90"/>
    <w:rsid w:val="543D35CB"/>
    <w:rsid w:val="5C7727E9"/>
    <w:rsid w:val="61960834"/>
    <w:rsid w:val="73A23CF3"/>
    <w:rsid w:val="74014D3F"/>
    <w:rsid w:val="79805345"/>
    <w:rsid w:val="7FA701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6"/>
    <w:qFormat/>
    <w:uiPriority w:val="99"/>
    <w:pPr>
      <w:keepNext/>
      <w:keepLines/>
      <w:spacing w:before="260" w:after="260" w:line="416" w:lineRule="auto"/>
      <w:outlineLvl w:val="2"/>
    </w:pPr>
    <w:rPr>
      <w:b/>
      <w:bCs/>
      <w:sz w:val="32"/>
      <w:szCs w:val="32"/>
    </w:rPr>
  </w:style>
  <w:style w:type="paragraph" w:styleId="5">
    <w:name w:val="heading 4"/>
    <w:basedOn w:val="1"/>
    <w:next w:val="1"/>
    <w:link w:val="17"/>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8"/>
    <w:semiHidden/>
    <w:qFormat/>
    <w:uiPriority w:val="99"/>
    <w:pPr>
      <w:ind w:left="100" w:leftChars="2500"/>
    </w:p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qFormat/>
    <w:locked/>
    <w:uiPriority w:val="0"/>
    <w:rPr>
      <w:b/>
    </w:rPr>
  </w:style>
  <w:style w:type="character" w:customStyle="1" w:styleId="14">
    <w:name w:val="标题 1 字符"/>
    <w:link w:val="2"/>
    <w:qFormat/>
    <w:locked/>
    <w:uiPriority w:val="99"/>
    <w:rPr>
      <w:rFonts w:cs="Times New Roman"/>
      <w:b/>
      <w:bCs/>
      <w:kern w:val="44"/>
      <w:sz w:val="44"/>
      <w:szCs w:val="44"/>
    </w:rPr>
  </w:style>
  <w:style w:type="character" w:customStyle="1" w:styleId="15">
    <w:name w:val="标题 2 字符"/>
    <w:link w:val="3"/>
    <w:qFormat/>
    <w:locked/>
    <w:uiPriority w:val="99"/>
    <w:rPr>
      <w:rFonts w:ascii="Cambria" w:hAnsi="Cambria" w:eastAsia="宋体" w:cs="Times New Roman"/>
      <w:b/>
      <w:bCs/>
      <w:sz w:val="32"/>
      <w:szCs w:val="32"/>
    </w:rPr>
  </w:style>
  <w:style w:type="character" w:customStyle="1" w:styleId="16">
    <w:name w:val="标题 3 字符"/>
    <w:link w:val="4"/>
    <w:qFormat/>
    <w:locked/>
    <w:uiPriority w:val="99"/>
    <w:rPr>
      <w:rFonts w:cs="Times New Roman"/>
      <w:b/>
      <w:bCs/>
      <w:sz w:val="32"/>
      <w:szCs w:val="32"/>
    </w:rPr>
  </w:style>
  <w:style w:type="character" w:customStyle="1" w:styleId="17">
    <w:name w:val="标题 4 字符"/>
    <w:link w:val="5"/>
    <w:qFormat/>
    <w:locked/>
    <w:uiPriority w:val="99"/>
    <w:rPr>
      <w:rFonts w:ascii="Cambria" w:hAnsi="Cambria" w:eastAsia="宋体" w:cs="Times New Roman"/>
      <w:b/>
      <w:bCs/>
      <w:sz w:val="28"/>
      <w:szCs w:val="28"/>
    </w:rPr>
  </w:style>
  <w:style w:type="character" w:customStyle="1" w:styleId="18">
    <w:name w:val="日期 字符"/>
    <w:link w:val="6"/>
    <w:semiHidden/>
    <w:qFormat/>
    <w:locked/>
    <w:uiPriority w:val="99"/>
    <w:rPr>
      <w:rFonts w:cs="Times New Roman"/>
    </w:rPr>
  </w:style>
  <w:style w:type="character" w:customStyle="1" w:styleId="19">
    <w:name w:val="页脚 字符"/>
    <w:link w:val="7"/>
    <w:qFormat/>
    <w:locked/>
    <w:uiPriority w:val="99"/>
    <w:rPr>
      <w:rFonts w:cs="Times New Roman"/>
      <w:sz w:val="18"/>
      <w:szCs w:val="18"/>
    </w:rPr>
  </w:style>
  <w:style w:type="character" w:customStyle="1" w:styleId="20">
    <w:name w:val="页眉 字符"/>
    <w:link w:val="8"/>
    <w:semiHidden/>
    <w:qFormat/>
    <w:locked/>
    <w:uiPriority w:val="99"/>
    <w:rPr>
      <w:rFonts w:cs="Times New Roman"/>
      <w:sz w:val="18"/>
      <w:szCs w:val="18"/>
    </w:rPr>
  </w:style>
  <w:style w:type="paragraph" w:customStyle="1" w:styleId="21">
    <w:name w:val="列表段落1"/>
    <w:basedOn w:val="1"/>
    <w:qFormat/>
    <w:uiPriority w:val="34"/>
    <w:pPr>
      <w:ind w:firstLine="420" w:firstLineChars="200"/>
    </w:pPr>
  </w:style>
  <w:style w:type="character" w:customStyle="1" w:styleId="22">
    <w:name w:val="font41"/>
    <w:basedOn w:val="12"/>
    <w:qFormat/>
    <w:uiPriority w:val="0"/>
    <w:rPr>
      <w:rFonts w:ascii="Calibri" w:hAnsi="Calibri" w:cs="Calibri"/>
      <w:color w:val="000000"/>
      <w:sz w:val="21"/>
      <w:szCs w:val="21"/>
      <w:u w:val="none"/>
    </w:rPr>
  </w:style>
  <w:style w:type="character" w:customStyle="1" w:styleId="23">
    <w:name w:val="font31"/>
    <w:basedOn w:val="12"/>
    <w:qFormat/>
    <w:uiPriority w:val="0"/>
    <w:rPr>
      <w:rFonts w:hint="eastAsia" w:ascii="宋体" w:hAnsi="宋体" w:eastAsia="宋体" w:cs="宋体"/>
      <w:color w:val="000000"/>
      <w:sz w:val="20"/>
      <w:szCs w:val="20"/>
      <w:u w:val="none"/>
    </w:rPr>
  </w:style>
  <w:style w:type="paragraph" w:customStyle="1" w:styleId="24">
    <w:name w:val="Default"/>
    <w:qFormat/>
    <w:uiPriority w:val="0"/>
    <w:pPr>
      <w:widowControl w:val="0"/>
      <w:autoSpaceDE w:val="0"/>
      <w:autoSpaceDN w:val="0"/>
      <w:adjustRightInd w:val="0"/>
      <w:spacing w:after="160" w:line="278" w:lineRule="auto"/>
    </w:pPr>
    <w:rPr>
      <w:rFonts w:ascii="微软雅黑" w:eastAsia="微软雅黑" w:cs="微软雅黑"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293</Words>
  <Characters>1675</Characters>
  <Lines>13</Lines>
  <Paragraphs>3</Paragraphs>
  <TotalTime>1</TotalTime>
  <ScaleCrop>false</ScaleCrop>
  <LinksUpToDate>false</LinksUpToDate>
  <CharactersWithSpaces>1965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1</cp:lastModifiedBy>
  <cp:lastPrinted>2023-12-14T10:29:00Z</cp:lastPrinted>
  <dcterms:modified xsi:type="dcterms:W3CDTF">2025-06-09T09:28:22Z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2C75BE3C294C4FBD99F1D1892FDCF162</vt:lpwstr>
  </property>
</Properties>
</file>