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spacing w:line="240" w:lineRule="auto"/>
        <w:rPr>
          <w:rFonts w:hint="eastAsia" w:ascii="宋体" w:hAnsi="宋体" w:eastAsia="宋体" w:cs="宋体"/>
          <w:bCs/>
          <w:sz w:val="24"/>
          <w:szCs w:val="24"/>
        </w:rPr>
      </w:pPr>
    </w:p>
    <w:p>
      <w:pPr>
        <w:kinsoku/>
        <w:spacing w:before="43" w:line="240" w:lineRule="auto"/>
        <w:jc w:val="center"/>
        <w:outlineLvl w:val="0"/>
        <w:rPr>
          <w:rFonts w:hint="eastAsia" w:ascii="宋体" w:hAnsi="宋体" w:eastAsia="宋体" w:cs="宋体"/>
          <w:b/>
          <w:sz w:val="44"/>
          <w:szCs w:val="44"/>
        </w:rPr>
      </w:pPr>
      <w:r>
        <w:rPr>
          <w:rFonts w:hint="eastAsia" w:ascii="宋体" w:hAnsi="宋体" w:eastAsia="宋体" w:cs="宋体"/>
          <w:b/>
          <w:spacing w:val="1"/>
          <w:sz w:val="44"/>
          <w:szCs w:val="44"/>
        </w:rPr>
        <w:t xml:space="preserve">  中山市中医院网络信息安全运维服务服务项目采购需求</w:t>
      </w:r>
    </w:p>
    <w:p>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一</w:t>
      </w:r>
      <w:r>
        <w:rPr>
          <w:rFonts w:ascii="宋体" w:hAnsi="宋体" w:eastAsia="宋体" w:cs="宋体"/>
          <w:b/>
          <w:bCs/>
          <w:sz w:val="24"/>
          <w:szCs w:val="24"/>
        </w:rPr>
        <w:t>、项目概况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ascii="宋体" w:hAnsi="宋体" w:eastAsia="宋体" w:cs="宋体"/>
          <w:color w:val="auto"/>
        </w:rPr>
      </w:pPr>
      <w:r>
        <w:rPr>
          <w:rFonts w:hint="eastAsia" w:ascii="宋体" w:hAnsi="宋体" w:eastAsia="宋体" w:cs="宋体"/>
          <w:color w:val="auto"/>
        </w:rPr>
        <w:t>1、项目名称：中山市中医院</w:t>
      </w:r>
      <w:r>
        <w:rPr>
          <w:rFonts w:hint="eastAsia" w:ascii="宋体" w:hAnsi="宋体" w:eastAsia="宋体" w:cs="宋体"/>
        </w:rPr>
        <w:t>网络信息安全运维服务</w:t>
      </w:r>
      <w:r>
        <w:rPr>
          <w:rFonts w:hint="eastAsia" w:ascii="宋体" w:hAnsi="宋体" w:eastAsia="宋体" w:cs="宋体"/>
          <w:color w:val="auto"/>
        </w:rPr>
        <w:t>服务项目</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ascii="宋体" w:hAnsi="宋体" w:eastAsia="宋体" w:cs="宋体"/>
          <w:color w:val="auto"/>
          <w:highlight w:val="yellow"/>
        </w:rPr>
      </w:pPr>
      <w:r>
        <w:rPr>
          <w:rFonts w:hint="eastAsia" w:ascii="宋体" w:hAnsi="宋体" w:eastAsia="宋体" w:cs="宋体"/>
          <w:color w:val="auto"/>
        </w:rPr>
        <w:t>2、项目内容：医院拟委托一家服务公司，提供</w:t>
      </w:r>
      <w:r>
        <w:rPr>
          <w:rFonts w:hint="eastAsia" w:ascii="宋体" w:hAnsi="宋体" w:eastAsia="宋体" w:cs="宋体"/>
        </w:rPr>
        <w:t>线上线下结合的专业信息安全服务团队，协助完善技术防护体系，强化运营流程，确保在潜在漏洞被利用前完成修复，或在遭受攻击时实现及时的响应处置，从而将业务中断风险降至最低，为医院构建覆盖事前预防、事中监测、事后响应的闭环安全运营体系以加固网络安全。</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ascii="宋体" w:hAnsi="宋体" w:eastAsia="宋体" w:cs="宋体"/>
          <w:color w:val="auto"/>
        </w:rPr>
      </w:pPr>
      <w:r>
        <w:rPr>
          <w:rFonts w:hint="eastAsia" w:ascii="宋体" w:hAnsi="宋体" w:eastAsia="宋体" w:cs="宋体"/>
          <w:color w:val="auto"/>
        </w:rPr>
        <w:t xml:space="preserve">3、预算金额：315000元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ascii="宋体" w:hAnsi="宋体" w:eastAsia="宋体" w:cs="宋体"/>
          <w:b/>
          <w:bCs/>
          <w:sz w:val="24"/>
          <w:szCs w:val="24"/>
        </w:rPr>
      </w:pPr>
      <w:r>
        <w:rPr>
          <w:rFonts w:ascii="宋体" w:hAnsi="宋体" w:eastAsia="宋体" w:cs="宋体"/>
          <w:color w:val="auto"/>
        </w:rPr>
        <w:t>4</w:t>
      </w:r>
      <w:r>
        <w:rPr>
          <w:rFonts w:hint="eastAsia" w:ascii="宋体" w:hAnsi="宋体" w:eastAsia="宋体" w:cs="宋体"/>
          <w:color w:val="auto"/>
        </w:rPr>
        <w:t>、服务期：一年</w:t>
      </w:r>
    </w:p>
    <w:p>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宋体" w:hAnsi="宋体" w:eastAsia="宋体" w:cs="宋体"/>
          <w:b/>
          <w:bCs/>
          <w:sz w:val="24"/>
          <w:szCs w:val="24"/>
        </w:rPr>
      </w:pPr>
      <w:bookmarkStart w:id="6" w:name="_GoBack"/>
      <w:bookmarkEnd w:id="6"/>
    </w:p>
    <w:p>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二、服务内容</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Style w:val="11"/>
          <w:rFonts w:hint="eastAsia" w:asciiTheme="minorEastAsia" w:hAnsiTheme="minorEastAsia" w:eastAsiaTheme="minorEastAsia" w:cstheme="minorEastAsia"/>
        </w:rPr>
        <w:t>信息安全运营服务</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 服务内容</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40" w:firstLineChars="200"/>
        <w:jc w:val="left"/>
        <w:textAlignment w:val="baseline"/>
        <w:outlineLvl w:val="9"/>
        <w:rPr>
          <w:rFonts w:hint="eastAsia" w:asciiTheme="minorEastAsia" w:hAnsiTheme="minorEastAsia" w:eastAsiaTheme="minorEastAsia" w:cstheme="minorEastAsia"/>
        </w:rPr>
      </w:pPr>
      <w:r>
        <w:rPr>
          <w:rFonts w:hint="eastAsia" w:ascii="宋体" w:hAnsi="宋体" w:eastAsia="宋体" w:cs="宋体"/>
          <w:sz w:val="22"/>
        </w:rPr>
        <w:t>对医院30个服务器资产提供信息安全运营服务，通过7×24小时全面的安全监测、分析和响应机制，提供暴露面梳理，快速识别和处置违规暴露资产，降低安全风险，提供直观的安全态势展示和定期安全报告，帮助我院构建主动、闭环的安全运营架构，同时满足合规要求。</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 安全策略与配置核查</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每季度对医院网络安全策略和配置进行全面核查，确保其有效性和合理性，及时发现并修正潜在的安全隐患，使医院的安全防护措施始终处于最佳状态。</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 安全漏洞管理</w:t>
      </w:r>
    </w:p>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3.1 每季度进行全面清查服务内网络资产，做好每一个高危可利用漏洞的防护工作，包括但不限于提供漏洞修复方案和安全设备防护策略，以及帮助医院配置防护规则。</w:t>
      </w:r>
    </w:p>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3.2 及时更新安全设备防护策略，配置防护规则，防止因漏洞被利用而导致重大安全事件，避免医院遭受损失。</w:t>
      </w:r>
    </w:p>
    <w:p>
      <w:pPr>
        <w:keepNext w:val="0"/>
        <w:keepLines w:val="0"/>
        <w:pageBreakBefore w:val="0"/>
        <w:widowControl/>
        <w:kinsoku w:val="0"/>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 威胁监测与处置</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 监测医院服务资产内的网络和系统安全状况，运用先进的监测技术，对异常流量、恶意代码和钓鱼邮件等威胁进行精准检测和分析，一旦发现可疑迹象，立即着手处理。</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4.2 发现高风险威胁时，在获得医院授权后，通过迅速联动安全设备，下发阻断命令，快速阻断恶意流量和攻击行为，防止威胁扩散，最大程度降低安全事件对医院业务的影响。</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 暴露面管理</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 每季度开展互联网暴露面梳理工作，精准识别暴露在互联网上的服务器、数据库、端口、数据资源等资产，全面了解暴露面情况，并对其进行有效管理，降低暴露面资产带来的安全风险。</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5.2 通过专业的服务工具收集暴露资产信息，暴露面信息至少包括域名、域名标题、IP 地址、开放端口、移动端暴露面等，并能采集对应暴露资产的访问截图向医院举证，同时分析暴露资产存在的漏洞，为后续的安全防护提供有力依据。</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 安全分析、事件管理及可视化交付物</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6.1 对脆弱性、异常流量、攻击日志、病毒日志等数据进行采集和实时分析研判，通过先进的分析技术，准确识别各类安全威胁和潜在风险，为安全决策提供有力支持。</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6.2 将同一资产的多个告警进行聚合分析，高效发现各类安全事件并及时生成工单，工单详细记录告警的基本信息，涉及的业务信息、攻击趋势、威胁详情、攻击原理、处置建议等内容，并支持根据医院实际情况提供备注，便于医院跟踪和处理安全事件。</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 服务期间首月提供《中山市中医院首次安全风险分析报告》、《中山市中医院威胁情报》，每月提供《中山市中医院安全运营月报》，每季度提供《中山市中医院安全运营季报》，年末提供《中山市中医院年度总结汇报》等可视化交付物，帮助医院全面了解安全状况和改进方向。</w:t>
      </w:r>
    </w:p>
    <w:p>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宋体" w:hAnsi="宋体" w:eastAsia="宋体" w:cs="宋体"/>
          <w:b/>
          <w:bCs/>
          <w:sz w:val="24"/>
          <w:szCs w:val="24"/>
        </w:rPr>
      </w:pPr>
    </w:p>
    <w:p>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（二）本地化安全应急及驻点安全运维服务</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 服务内容</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1年的本地技术应急与现场安全驻点服务，旨在通过现场驻点+技术支撑团队共同协助医院构建一套完善的本地化安全应急及驻点安全运维服务体系。通过专业的技术团队、先进的技术手段和规范化的管理流程，实现对医院网络安全的全方位监测、主动响应、安全加固、应急处置及人员培训，确保医院在日常运营及重大时期的信息安全，为医院的信息化建设与发展提供坚实的安全保障。</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 网络安全服务需求</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2.1 日常运维：负责网络安全设备运维检测，日志收集分析，隐患排查及策略整改；漏洞扫描及基线核查，提供检测报告；持续对接日志审计，保存日志 6 个月；定期查看日志，高风险及时反馈加固；协助设备调试运维，完善相关网络安全设备部署；针对病毒事件提供整改建议及加固，定期升级安全设备及病毒特征库。</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2.2 设备调整优化：针对不同网络安全设备，根据院方实际场景需求进行临时调整或策略优化，满足信息部门日常运维需求。</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2.3 应急响应：提供应急故障现场增援服务，确保及时处理。</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bookmarkStart w:id="0" w:name="_Toc195795023"/>
      <w:bookmarkStart w:id="1" w:name="_Toc105515640"/>
      <w:r>
        <w:rPr>
          <w:rFonts w:hint="eastAsia" w:asciiTheme="minorEastAsia" w:hAnsiTheme="minorEastAsia" w:eastAsiaTheme="minorEastAsia" w:cstheme="minorEastAsia"/>
        </w:rPr>
        <w:t>3. 日常监测与运维服务</w:t>
      </w:r>
      <w:bookmarkEnd w:id="0"/>
      <w:bookmarkEnd w:id="1"/>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每天针对监测类的安全产品进行巡检、包括但不局限防火墙、WAF、入侵防御、入侵检测、防病毒系统、态势感知等网络安全设备，通过日志分析，每天为医院信息系统内防病毒系统、安全设备和态势感知系统产生的海量日志进行深度挖掘和分析，从IP分布、时间分布、事件分布，行为分布、告警趋势这五个维度对用户信息系统内安全设备和态势感知平台产生的日志进行梳理，发现潜在的风险点，并及时进行处置，每周针对安全情况，汇聚成一份运维监测报告，进行安全汇报。</w:t>
      </w:r>
      <w:bookmarkStart w:id="2" w:name="_Toc105515641"/>
      <w:bookmarkStart w:id="3" w:name="_Toc54187229"/>
      <w:bookmarkStart w:id="4" w:name="_Toc195795024"/>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 主动响应与安全日志巡检服务</w:t>
      </w:r>
      <w:bookmarkEnd w:id="2"/>
      <w:bookmarkEnd w:id="3"/>
      <w:bookmarkEnd w:id="4"/>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 提供每月1次的安全日志巡检分析服务，主要由安全服务工程师对医院数据中心的网络安全设备、防病毒系统、态势感知平台分析等进行安全巡检、安全日志分析及安全告警事件处理，主要包含以下三块内容：</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4.1.1 医院数据中心的安全设备进行安全巡检：包括设备的运行状态、设备负载是否正常，设备授权是否到期，系统版本是否需要更新等，通过每月的安全巡检可以保障设备的正常运行。</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 医院的防病毒系统日志分析：针对医院的防病毒系统进行日志分析时，需配套提供防病毒运维工具，可以配合医院快速进行病毒分析并出具巡检报告，输出《中山市中医院防病毒巡检报告报告》。服务期间提供的防病毒运维服务系统，导入病毒日志数据后，自动生成病毒分析报告，全网安全治理服务频率和病毒分析报告内容包括如下：</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4.1.2.1 周期内全网病毒感染趋势图，需要对大量重复数据进行降噪去重，整理出实际可用的潜在病毒风险实时数据。</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4.1.2.2 提供当期、历史前十位感染病毒的机器清单，直观了解全网病毒感染分布，迅速定位高危计算机。</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4.1.2.3 提供病毒传播及感染方向分析，包括本机内横向扩散病毒数、通过移动存储感染病毒数、通过互联网感染病毒数、局域网横向传播病毒数，直观判断病毒传播渠道风险。</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4.1.2.4 提供前十病毒全网扩散情况分析，并且进行相关处置事件闭环动作，确保病毒得以控制。</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4.1.2.5 提供覆盖“事前防御-事中阻断-事后处置”的全生命周期勒索病毒防护体系，包括基于攻击链的入侵防御、行为拦截及数据恢复能力，并实时生成攻击事件工单，联动防火墙快速隔离恶意文件。服务承诺攻击响应≤15分钟、勒索变种防御率≥99%，且基线配置符合等保2.0要求。</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4.1.2.6 提供全网感染黑客工具的计算机分析，直观发现网内是否存在黑客入侵风险。</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4.1.2.7 可自定义防病毒运维考核KPI指标，并通过防病毒日志分析周期内KPI指标达成情况。</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4.1.2.8 安全态势感知系统巡检分析。</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4.1.3 巡检结束后，结合巡检目标的具体安全内容编写解决方案和相关的安全建议，为管理员的维护和修补工作提供参考。输出如下报告：《中山市中医院月度安全监测运维报告》</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 安全加固服务</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安全服务团队进行漏洞扫描和渗透测试过程中发现的弱点和安全隐患，配合协助医院对信息系统的服务器、网络设备、信息安全设备进行安全加固服务，提高系统与服务器平台运行的安全性、可靠性。配合漏扫中查出的问题对应实施安全加固，对软件系统补丁的安装指导，输出安全加固报告。</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 系统安全加固</w:t>
      </w:r>
    </w:p>
    <w:p>
      <w:pPr>
        <w:keepNext w:val="0"/>
        <w:keepLines w:val="0"/>
        <w:pageBreakBefore w:val="0"/>
        <w:widowControl/>
        <w:wordWrap/>
        <w:overflowPunct/>
        <w:topLinePunct w:val="0"/>
        <w:autoSpaceDE w:val="0"/>
        <w:autoSpaceDN w:val="0"/>
        <w:bidi w:val="0"/>
        <w:adjustRightInd w:val="0"/>
        <w:snapToGrid w:val="0"/>
        <w:spacing w:after="0" w:line="240" w:lineRule="auto"/>
        <w:ind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主要完成根据漏扫报告，对操作系统、应用中间件、数据库增打补丁的需求，使打完补丁后的系统环境能够正常运作，发挥系统软件应有的功能。至少应完成以下工作内容：</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5.1.1 分析补丁的可用性及风险；</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5.1.2 制定升级计划及应急回退计划；</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5.1.3 做好各项系统备份准备；</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5.1.4 安装软件升级包；</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5.1.5 检测升级的有效性；</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5.1.6 升级失败，做系统回退；</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5.2 应用程序漏洞加固</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协助对除操作系统、应用中间件、数据库以外的业务系统应用程序的漏洞，出具安全整改报告，及时通知相关业务系统管理员，并协同各管理员、第三方软件开发商、第三方维护人员等共同制定整改计划，在整改过程中提供相应的技术指导。</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6. 安全迎检服务</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信息安全迎检服务，为积极迎接网监、卫健局等上级单位的安全检查，确保安全检查工作能够顺利开展，医院需要做好相关的安全准备工作，因此通过安全检查迎检服务能够有效帮助医院开展检查前的准备工作、检查过程中的密切配合及检查后的问题跟进。迎检结束后，提供《中山市中医院安全迎检检查计划》、《中山市中医院安全问题跟进清单》。</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 重大时期安全保障服务</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重大节假日安全保障，由安全运维团队提供重保期间线上或现场的值守服务，例如年度“护网“专项行动、国家重大会议（两会）、国庆、春节、五一劳动节等重要时期，配合医院进行相关安全准备与监控工作，工作主要包括如下方面工作：</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 安全设备检查</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7.1.1 安全设备健康情况实时监控，包含：CPU使用率、内存占用率、接口流量、接口工作状态、硬盘使用情况等设备健康相关的基本参数监控。</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7.1.2 安全设备告警事件实时监控，包含：拒绝服务攻击，网络病毒爆发，漏洞远程利用、恶意代码传递等高危事件告警信息。</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7.2 安全事件协助处理</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当安全设备产生高危事件报警时，积极协助用户相关人员对报警事件进行确定、排查，对于真实存在的事件第一时间进行上报，并做好后期的分析和处理。服务结束后，提交不限于以下报告：《中山市中医院重保值守安全巡检报告》、《中山市中医院重保值守安全注意事项》</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 应急事件分析与处置服务</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8.1 安全响应：对医院上报的安全事件进行及时响应。</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8.2 安全分析：针对分析得到的勒索病毒、挖矿病毒、篡改事件、webshell、僵尸网络等安全事件，通过工具和方法对恶意文件、代码进行根除，配合医院快速恢复业务，消除或减轻影响。</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8.3 加固建议指导：结合现有安全防御体系，指导医院进行安全加固、提供整改建议、防止再次入侵。</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8.4 根据每次事件分析与处置的结果，输出《中山市中医院安全事件分析与处置报告》。</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9. 安全事件管理服务</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配合医院针对前期的渗透和漏洞扫描过程中发现的问题并整合近期遇到的安全事件，每季度进行时间跟踪和维护，提供安全事件的通知、整改进度跟踪、复核服务。每半年提交1份《中山市中医院安全事件的通知》、《中山市中医院整改进度跟踪》以及《中山市中医院复核报告》等相关标准交付文件。</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 应急安全服务需求</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10.1 由本地专业网络安全服务商提供全方位技术支持应急服务，包括但不局限以下技术支撑服务：当医院系统或者网络出现紧急故障或其他不可抗力因素需要技术支撑时，服务商安排专业的技术工程师对接现场驻场服务人员提供7*24小时应急支撑服务，由专门负责应急服务经理15分钟内响应技术团队支撑现场驻场服务人员，并30分钟内提供远程技术支撑服务，若故障事件升级可提供1小时内快速上门应急服务，并与现场驻场服务人员联动处理，若机器出现故障需返厂维修，配合院方提供备机服务保障医院系统正常运行。</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10.2 网络架构分析:梳理当前数据流向网络架构，绘制并优化网络拓扑，按照等级保护要求初步评估网络架构的安全问题，例如链路防护、区域隔离、节点冗余等。</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10.3 资产识别与梳理:通过安全工具、人工访谈、现场收集等方式，对院方资产进行识别梳理，输出完善院方的资产信息管理表；每季度对当前医疗系统进行漏扫服务，梳理所有医疗系统存在的漏洞隐患，并协助院方进行修复加固。</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10.4 安全管理体系建设:通过访谈交流、文档分析、日常工作处置与观察，了解院方现有的信息安全管理体系运行情况，包括安全组织部门、应急处置流程、人员岗位设置、职责人工、联系方式等，建设完善的安全管理体系:</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10.5 日常巡检工作，输出《中山市中医院日常巡检分析报告》，包括安全设备运行状态记录、安全日志分析、访问日志;分析异常IP攻击源、访问链路等;日常问题处理工作包含:安全预警检测预警与威胁处置服务、漏洞管理总结等。</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10.6 协助院内制定网络安全策略，针对网络安全防护以及合规设备进行配置策略优化，根据院内实际使用场景对相关设备进行策略加固和调整；若现场发生网络安全事件时，协助院方进行相关系统和终端进行全盘查杀以及漏洞修复，必要时可提供病毒事件溯源服务；</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10.7 如遇启动安全应急服务，交付成果包括但不限于：</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《中山市中医院应急事件处理报告》</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《中山市中医院信息安全应急预案》</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w:t>
      </w:r>
      <w:r>
        <w:rPr>
          <w:rFonts w:hint="eastAsia" w:asciiTheme="minorEastAsia" w:hAnsiTheme="minorEastAsia" w:eastAsiaTheme="minorEastAsia" w:cstheme="minorEastAsia"/>
          <w:lang w:eastAsia="zh-Hans"/>
        </w:rPr>
        <w:t>服务实施计划》</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w:t>
      </w:r>
      <w:r>
        <w:rPr>
          <w:rFonts w:hint="eastAsia" w:asciiTheme="minorEastAsia" w:hAnsiTheme="minorEastAsia" w:eastAsiaTheme="minorEastAsia" w:cstheme="minorEastAsia"/>
          <w:lang w:eastAsia="zh-Hans"/>
        </w:rPr>
        <w:t>服务实施方案》</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《中山市中医院信息化资产信息表》</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《中山市中医院业务系统流程梳理表》</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《中山市中医院网络拓扑图》</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《中山市中医院网络和安全设备巡检报告》</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《中山市中医院驻场安全运维服务日/周报》</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《中山市中医院驻场安全运维服务月度总结》</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《中山市中医院驻场安全运维服务半年度总结》</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《中山市中医院驻场安全运维服务年度总结》</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11. 应急演练服务</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协助医院建立网络安全应急机制，进行每年1次的安全应急演练，进行安全应急演练，完善监测预警能力、防御能力、响应能力。应急演练结束后，应急演练服务结束后在一周之内交付《中山市中医院应急演练服务方案》、《中山市中医院应急演练场景脚本设计》、《中山市中医院应急演练总结》等报告。</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 网络安全培训服务</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firstLine="420" w:firstLineChars="20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每年2次的安全培训服务，为医院的相关人员在不同岗位和知识层次，建立安全进阶培训体系，针对不同岗位的管理人员和技术人员进行安全方面的意识和方法论的培训，提供信息安全知识普及培训及信息安全技能培训，以提高用户管理员的安全知识和技能，进一步提高相关人员的安全意识和安全处理水平，协助医院逐步建立一支综合素质强的安全维护队伍。</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12.1 《中山市中医院网络安全意识培训》：通过案例强调安全意识的重要程度，可作为医院全体员工进行安全合规和信息安全标准以及风险管理培训的基础课程。</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12.2 《中山市中医院技术管理人员培训》：提供技术管理人员培训，培训信息管理人员掌握必备的基本安全技能，可作为医院信息安全管理人员进行安全管理和信息安全技术加强的培训课程，保证医院信息管理人员更加有效的对信息系统进行管理，能了解市场上大部分安全产品，能够有效的使用现有的安全设备。</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12.3 安全讲师在进行安全培训服务前，需出具一份《中山市中医院安全培训计划》、《中山市中医院安全培训教材》，文档中会详细的列出本次培训的课件和培训的计划，以便有针对性的进行本次培训，达到培训的效果。</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p>
    <w:p>
      <w:pPr>
        <w:keepNext w:val="0"/>
        <w:keepLines w:val="0"/>
        <w:pageBreakBefore w:val="0"/>
        <w:widowControl/>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三、服务要求</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1、人员配置及岗位职责</w:t>
      </w:r>
    </w:p>
    <w:tbl>
      <w:tblPr>
        <w:tblStyle w:val="9"/>
        <w:tblpPr w:leftFromText="180" w:rightFromText="180" w:vertAnchor="text" w:horzAnchor="margin" w:tblpXSpec="center" w:tblpY="186"/>
        <w:tblW w:w="86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500"/>
        <w:gridCol w:w="1125"/>
        <w:gridCol w:w="1110"/>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572" w:type="dxa"/>
            <w:vAlign w:val="center"/>
          </w:tcPr>
          <w:p>
            <w:pPr>
              <w:spacing w:line="240" w:lineRule="auto"/>
              <w:jc w:val="center"/>
              <w:rPr>
                <w:lang w:eastAsia="en-US"/>
              </w:rPr>
            </w:pPr>
            <w:r>
              <w:rPr>
                <w:lang w:eastAsia="en-US"/>
              </w:rPr>
              <w:t>序号</w:t>
            </w:r>
          </w:p>
        </w:tc>
        <w:tc>
          <w:tcPr>
            <w:tcW w:w="1500" w:type="dxa"/>
            <w:vAlign w:val="center"/>
          </w:tcPr>
          <w:p>
            <w:pPr>
              <w:spacing w:line="240" w:lineRule="auto"/>
              <w:jc w:val="center"/>
              <w:rPr>
                <w:lang w:eastAsia="en-US"/>
              </w:rPr>
            </w:pPr>
            <w:r>
              <w:rPr>
                <w:lang w:eastAsia="en-US"/>
              </w:rPr>
              <w:t>岗位</w:t>
            </w:r>
          </w:p>
        </w:tc>
        <w:tc>
          <w:tcPr>
            <w:tcW w:w="1125" w:type="dxa"/>
            <w:vAlign w:val="center"/>
          </w:tcPr>
          <w:p>
            <w:pPr>
              <w:spacing w:line="240" w:lineRule="auto"/>
              <w:jc w:val="center"/>
              <w:rPr>
                <w:lang w:eastAsia="en-US"/>
              </w:rPr>
            </w:pPr>
            <w:r>
              <w:rPr>
                <w:lang w:eastAsia="en-US"/>
              </w:rPr>
              <w:t>数量</w:t>
            </w:r>
          </w:p>
        </w:tc>
        <w:tc>
          <w:tcPr>
            <w:tcW w:w="1110" w:type="dxa"/>
            <w:vAlign w:val="center"/>
          </w:tcPr>
          <w:p>
            <w:pPr>
              <w:spacing w:line="240" w:lineRule="auto"/>
              <w:jc w:val="center"/>
              <w:rPr>
                <w:lang w:eastAsia="en-US"/>
              </w:rPr>
            </w:pPr>
            <w:r>
              <w:rPr>
                <w:lang w:eastAsia="en-US"/>
              </w:rPr>
              <w:t>是否</w:t>
            </w:r>
          </w:p>
          <w:p>
            <w:pPr>
              <w:spacing w:line="240" w:lineRule="auto"/>
              <w:jc w:val="center"/>
              <w:rPr>
                <w:lang w:eastAsia="en-US"/>
              </w:rPr>
            </w:pPr>
            <w:r>
              <w:rPr>
                <w:lang w:eastAsia="en-US"/>
              </w:rPr>
              <w:t>驻场</w:t>
            </w:r>
          </w:p>
        </w:tc>
        <w:tc>
          <w:tcPr>
            <w:tcW w:w="4357" w:type="dxa"/>
            <w:vAlign w:val="center"/>
          </w:tcPr>
          <w:p>
            <w:pPr>
              <w:spacing w:line="240" w:lineRule="auto"/>
              <w:jc w:val="center"/>
              <w:rPr>
                <w:lang w:eastAsia="en-US"/>
              </w:rPr>
            </w:pPr>
            <w:r>
              <w:rPr>
                <w:lang w:eastAsia="en-US"/>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jc w:val="center"/>
        </w:trPr>
        <w:tc>
          <w:tcPr>
            <w:tcW w:w="572" w:type="dxa"/>
            <w:vAlign w:val="center"/>
          </w:tcPr>
          <w:p>
            <w:pPr>
              <w:spacing w:line="240" w:lineRule="auto"/>
              <w:jc w:val="center"/>
              <w:rPr>
                <w:rFonts w:hint="eastAsia"/>
                <w:lang w:eastAsia="en-US"/>
              </w:rPr>
            </w:pPr>
            <w:r>
              <w:rPr>
                <w:rFonts w:hint="eastAsia"/>
                <w:lang w:eastAsia="en-US"/>
              </w:rPr>
              <w:t>1</w:t>
            </w:r>
          </w:p>
        </w:tc>
        <w:tc>
          <w:tcPr>
            <w:tcW w:w="1500" w:type="dxa"/>
            <w:vAlign w:val="center"/>
          </w:tcPr>
          <w:p>
            <w:pPr>
              <w:spacing w:line="240" w:lineRule="auto"/>
              <w:jc w:val="center"/>
              <w:rPr>
                <w:rFonts w:hint="eastAsia"/>
                <w:lang w:eastAsia="en-US"/>
              </w:rPr>
            </w:pPr>
            <w:r>
              <w:rPr>
                <w:rFonts w:hint="eastAsia"/>
                <w:lang w:eastAsia="en-US"/>
              </w:rPr>
              <w:t>项目经理</w:t>
            </w:r>
          </w:p>
        </w:tc>
        <w:tc>
          <w:tcPr>
            <w:tcW w:w="1125" w:type="dxa"/>
            <w:vAlign w:val="center"/>
          </w:tcPr>
          <w:p>
            <w:pPr>
              <w:spacing w:line="240" w:lineRule="auto"/>
              <w:jc w:val="center"/>
              <w:rPr>
                <w:rFonts w:hint="eastAsia"/>
                <w:lang w:eastAsia="en-US"/>
              </w:rPr>
            </w:pPr>
            <w:r>
              <w:rPr>
                <w:rFonts w:hint="eastAsia"/>
                <w:lang w:eastAsia="en-US"/>
              </w:rPr>
              <w:t>1人</w:t>
            </w:r>
          </w:p>
        </w:tc>
        <w:tc>
          <w:tcPr>
            <w:tcW w:w="1110" w:type="dxa"/>
            <w:vAlign w:val="center"/>
          </w:tcPr>
          <w:p>
            <w:pPr>
              <w:spacing w:line="240" w:lineRule="auto"/>
              <w:jc w:val="center"/>
              <w:rPr>
                <w:rFonts w:hint="eastAsia"/>
                <w:lang w:eastAsia="en-US"/>
              </w:rPr>
            </w:pPr>
            <w:r>
              <w:rPr>
                <w:rFonts w:hint="eastAsia"/>
                <w:lang w:eastAsia="zh-CN"/>
              </w:rPr>
              <w:t>非</w:t>
            </w:r>
            <w:r>
              <w:rPr>
                <w:rFonts w:hint="eastAsia"/>
                <w:lang w:eastAsia="en-US"/>
              </w:rPr>
              <w:t>驻场</w:t>
            </w:r>
          </w:p>
        </w:tc>
        <w:tc>
          <w:tcPr>
            <w:tcW w:w="4357" w:type="dxa"/>
            <w:vAlign w:val="center"/>
          </w:tcPr>
          <w:p>
            <w:pPr>
              <w:spacing w:line="240" w:lineRule="auto"/>
              <w:jc w:val="both"/>
              <w:rPr>
                <w:rFonts w:hint="eastAsia"/>
                <w:lang w:eastAsia="zh-CN"/>
              </w:rPr>
            </w:pPr>
            <w:r>
              <w:rPr>
                <w:rFonts w:hint="eastAsia"/>
              </w:rPr>
              <w:t>3年以上同类项目经验，具备项目管理能力，负责项目整体规划、实施、沟通及投诉处理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atLeast"/>
          <w:jc w:val="center"/>
        </w:trPr>
        <w:tc>
          <w:tcPr>
            <w:tcW w:w="572" w:type="dxa"/>
            <w:vAlign w:val="center"/>
          </w:tcPr>
          <w:p>
            <w:pPr>
              <w:spacing w:line="240" w:lineRule="auto"/>
              <w:jc w:val="center"/>
              <w:rPr>
                <w:rFonts w:hint="eastAsia"/>
                <w:lang w:eastAsia="zh-CN"/>
              </w:rPr>
            </w:pPr>
            <w:r>
              <w:rPr>
                <w:rFonts w:hint="eastAsia"/>
                <w:lang w:val="en-US" w:eastAsia="zh-CN"/>
              </w:rPr>
              <w:t>2</w:t>
            </w:r>
          </w:p>
        </w:tc>
        <w:tc>
          <w:tcPr>
            <w:tcW w:w="1500" w:type="dxa"/>
            <w:vAlign w:val="center"/>
          </w:tcPr>
          <w:p>
            <w:pPr>
              <w:spacing w:line="240" w:lineRule="auto"/>
              <w:jc w:val="center"/>
              <w:rPr>
                <w:rFonts w:hint="eastAsia"/>
                <w:lang w:eastAsia="en-US"/>
              </w:rPr>
            </w:pPr>
            <w:r>
              <w:rPr>
                <w:rFonts w:hint="eastAsia"/>
              </w:rPr>
              <w:t>安全运维工程师</w:t>
            </w:r>
          </w:p>
        </w:tc>
        <w:tc>
          <w:tcPr>
            <w:tcW w:w="1125" w:type="dxa"/>
            <w:vAlign w:val="center"/>
          </w:tcPr>
          <w:p>
            <w:pPr>
              <w:spacing w:line="240" w:lineRule="auto"/>
              <w:jc w:val="center"/>
              <w:rPr>
                <w:rFonts w:hint="eastAsia"/>
                <w:lang w:eastAsia="en-US"/>
              </w:rPr>
            </w:pPr>
            <w:r>
              <w:rPr>
                <w:rFonts w:hint="eastAsia"/>
                <w:lang w:val="en-US" w:eastAsia="zh-CN"/>
              </w:rPr>
              <w:t>1</w:t>
            </w:r>
            <w:r>
              <w:rPr>
                <w:rFonts w:hint="eastAsia"/>
                <w:lang w:eastAsia="en-US"/>
              </w:rPr>
              <w:t>人</w:t>
            </w:r>
          </w:p>
        </w:tc>
        <w:tc>
          <w:tcPr>
            <w:tcW w:w="1110" w:type="dxa"/>
            <w:vAlign w:val="center"/>
          </w:tcPr>
          <w:p>
            <w:pPr>
              <w:spacing w:line="240" w:lineRule="auto"/>
              <w:jc w:val="center"/>
              <w:rPr>
                <w:rFonts w:hint="eastAsia"/>
                <w:lang w:eastAsia="en-US"/>
              </w:rPr>
            </w:pPr>
            <w:r>
              <w:rPr>
                <w:rFonts w:hint="eastAsia"/>
                <w:lang w:eastAsia="en-US"/>
              </w:rPr>
              <w:t>完全驻场</w:t>
            </w:r>
          </w:p>
        </w:tc>
        <w:tc>
          <w:tcPr>
            <w:tcW w:w="4357" w:type="dxa"/>
            <w:vAlign w:val="center"/>
          </w:tcPr>
          <w:p>
            <w:pPr>
              <w:spacing w:line="240" w:lineRule="auto"/>
              <w:jc w:val="center"/>
              <w:rPr>
                <w:rFonts w:hint="eastAsia"/>
              </w:rPr>
            </w:pPr>
            <w:r>
              <w:rPr>
                <w:rFonts w:hint="eastAsia"/>
              </w:rPr>
              <w:t>5*8小时工作制，负责设备软硬件维护、巡检、文档填写、与后台技术团队实时沟通协调及其他各项现场驻点任务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spacing w:line="240" w:lineRule="auto"/>
              <w:jc w:val="center"/>
              <w:rPr>
                <w:rFonts w:hint="eastAsia"/>
                <w:lang w:eastAsia="zh-CN"/>
              </w:rPr>
            </w:pPr>
            <w:r>
              <w:rPr>
                <w:rFonts w:hint="eastAsia"/>
                <w:lang w:val="en-US" w:eastAsia="zh-CN"/>
              </w:rPr>
              <w:t>3</w:t>
            </w:r>
          </w:p>
        </w:tc>
        <w:tc>
          <w:tcPr>
            <w:tcW w:w="1500" w:type="dxa"/>
            <w:vAlign w:val="center"/>
          </w:tcPr>
          <w:p>
            <w:pPr>
              <w:spacing w:line="240" w:lineRule="auto"/>
              <w:jc w:val="center"/>
              <w:rPr>
                <w:rFonts w:hint="eastAsia"/>
                <w:lang w:eastAsia="en-US"/>
              </w:rPr>
            </w:pPr>
            <w:r>
              <w:rPr>
                <w:rFonts w:hint="eastAsia"/>
              </w:rPr>
              <w:t>安全运维工程师</w:t>
            </w:r>
          </w:p>
        </w:tc>
        <w:tc>
          <w:tcPr>
            <w:tcW w:w="1125" w:type="dxa"/>
            <w:vAlign w:val="center"/>
          </w:tcPr>
          <w:p>
            <w:pPr>
              <w:spacing w:line="240" w:lineRule="auto"/>
              <w:jc w:val="center"/>
              <w:rPr>
                <w:rFonts w:hint="eastAsia"/>
                <w:lang w:eastAsia="en-US"/>
              </w:rPr>
            </w:pPr>
            <w:r>
              <w:rPr>
                <w:rFonts w:hint="eastAsia"/>
              </w:rPr>
              <w:t>2 人</w:t>
            </w:r>
          </w:p>
        </w:tc>
        <w:tc>
          <w:tcPr>
            <w:tcW w:w="1110" w:type="dxa"/>
            <w:vAlign w:val="center"/>
          </w:tcPr>
          <w:p>
            <w:pPr>
              <w:spacing w:line="240" w:lineRule="auto"/>
              <w:jc w:val="center"/>
              <w:rPr>
                <w:rFonts w:hint="eastAsia"/>
                <w:lang w:eastAsia="en-US"/>
              </w:rPr>
            </w:pPr>
            <w:r>
              <w:rPr>
                <w:rFonts w:hint="eastAsia"/>
                <w:lang w:eastAsia="en-US"/>
              </w:rPr>
              <w:t>非驻场</w:t>
            </w:r>
          </w:p>
        </w:tc>
        <w:tc>
          <w:tcPr>
            <w:tcW w:w="4357" w:type="dxa"/>
            <w:vAlign w:val="center"/>
          </w:tcPr>
          <w:p>
            <w:pPr>
              <w:spacing w:line="240" w:lineRule="auto"/>
              <w:jc w:val="center"/>
              <w:rPr>
                <w:rFonts w:hint="eastAsia"/>
              </w:rPr>
            </w:pPr>
            <w:r>
              <w:rPr>
                <w:rFonts w:hint="eastAsia"/>
              </w:rPr>
              <w:t>负责安全事件分析、处理、巡检及应急响应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spacing w:line="240" w:lineRule="auto"/>
              <w:jc w:val="center"/>
              <w:rPr>
                <w:rFonts w:hint="eastAsia"/>
                <w:lang w:eastAsia="zh-CN"/>
              </w:rPr>
            </w:pPr>
            <w:r>
              <w:rPr>
                <w:rFonts w:hint="eastAsia"/>
                <w:lang w:val="en-US" w:eastAsia="zh-CN"/>
              </w:rPr>
              <w:t>4</w:t>
            </w:r>
          </w:p>
        </w:tc>
        <w:tc>
          <w:tcPr>
            <w:tcW w:w="1500" w:type="dxa"/>
            <w:vAlign w:val="center"/>
          </w:tcPr>
          <w:p>
            <w:pPr>
              <w:spacing w:line="240" w:lineRule="auto"/>
              <w:jc w:val="center"/>
              <w:rPr>
                <w:rFonts w:hint="eastAsia"/>
                <w:lang w:eastAsia="en-US"/>
              </w:rPr>
            </w:pPr>
            <w:r>
              <w:rPr>
                <w:rFonts w:hint="eastAsia"/>
              </w:rPr>
              <w:t>应急工程师</w:t>
            </w:r>
          </w:p>
        </w:tc>
        <w:tc>
          <w:tcPr>
            <w:tcW w:w="1125" w:type="dxa"/>
            <w:vAlign w:val="center"/>
          </w:tcPr>
          <w:p>
            <w:pPr>
              <w:spacing w:line="240" w:lineRule="auto"/>
              <w:jc w:val="center"/>
              <w:rPr>
                <w:rFonts w:hint="eastAsia"/>
                <w:lang w:eastAsia="en-US"/>
              </w:rPr>
            </w:pPr>
            <w:r>
              <w:rPr>
                <w:rFonts w:hint="eastAsia"/>
              </w:rPr>
              <w:t>不少于1 人</w:t>
            </w:r>
          </w:p>
        </w:tc>
        <w:tc>
          <w:tcPr>
            <w:tcW w:w="1110" w:type="dxa"/>
            <w:vAlign w:val="center"/>
          </w:tcPr>
          <w:p>
            <w:pPr>
              <w:spacing w:line="240" w:lineRule="auto"/>
              <w:jc w:val="center"/>
              <w:rPr>
                <w:rFonts w:hint="eastAsia"/>
                <w:lang w:eastAsia="en-US"/>
              </w:rPr>
            </w:pPr>
            <w:r>
              <w:rPr>
                <w:rFonts w:hint="eastAsia"/>
              </w:rPr>
              <w:t>非驻场</w:t>
            </w:r>
          </w:p>
        </w:tc>
        <w:tc>
          <w:tcPr>
            <w:tcW w:w="4357" w:type="dxa"/>
            <w:vAlign w:val="center"/>
          </w:tcPr>
          <w:p>
            <w:pPr>
              <w:spacing w:line="240" w:lineRule="auto"/>
              <w:jc w:val="center"/>
              <w:rPr>
                <w:rFonts w:hint="eastAsia"/>
              </w:rPr>
            </w:pPr>
            <w:r>
              <w:rPr>
                <w:rFonts w:hint="eastAsia"/>
              </w:rPr>
              <w:t>作为后备力量，协助处理复杂故障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572" w:type="dxa"/>
            <w:vAlign w:val="center"/>
          </w:tcPr>
          <w:p>
            <w:pPr>
              <w:spacing w:line="240" w:lineRule="auto"/>
              <w:jc w:val="center"/>
              <w:rPr>
                <w:rFonts w:hint="eastAsia"/>
                <w:lang w:val="en-US" w:eastAsia="zh-CN"/>
              </w:rPr>
            </w:pPr>
            <w:r>
              <w:rPr>
                <w:rFonts w:hint="eastAsia"/>
                <w:lang w:val="en-US" w:eastAsia="zh-CN"/>
              </w:rPr>
              <w:t>5</w:t>
            </w:r>
          </w:p>
        </w:tc>
        <w:tc>
          <w:tcPr>
            <w:tcW w:w="1500" w:type="dxa"/>
            <w:vAlign w:val="center"/>
          </w:tcPr>
          <w:p>
            <w:pPr>
              <w:spacing w:line="240" w:lineRule="auto"/>
              <w:jc w:val="center"/>
              <w:rPr>
                <w:rFonts w:hint="eastAsia"/>
              </w:rPr>
            </w:pPr>
            <w:r>
              <w:rPr>
                <w:rFonts w:hint="eastAsia"/>
              </w:rPr>
              <w:t>云上运营安全服务团队</w:t>
            </w:r>
          </w:p>
        </w:tc>
        <w:tc>
          <w:tcPr>
            <w:tcW w:w="1125" w:type="dxa"/>
            <w:vAlign w:val="center"/>
          </w:tcPr>
          <w:p>
            <w:pPr>
              <w:spacing w:line="240" w:lineRule="auto"/>
              <w:jc w:val="center"/>
              <w:rPr>
                <w:rFonts w:hint="eastAsia"/>
              </w:rPr>
            </w:pPr>
            <w:r>
              <w:rPr>
                <w:rFonts w:hint="eastAsia"/>
              </w:rPr>
              <w:t>不少于2 人</w:t>
            </w:r>
          </w:p>
        </w:tc>
        <w:tc>
          <w:tcPr>
            <w:tcW w:w="1110" w:type="dxa"/>
            <w:vAlign w:val="center"/>
          </w:tcPr>
          <w:p>
            <w:pPr>
              <w:spacing w:line="240" w:lineRule="auto"/>
              <w:jc w:val="center"/>
              <w:rPr>
                <w:rFonts w:hint="eastAsia"/>
              </w:rPr>
            </w:pPr>
            <w:r>
              <w:rPr>
                <w:rFonts w:hint="eastAsia"/>
              </w:rPr>
              <w:t>非驻场</w:t>
            </w:r>
          </w:p>
        </w:tc>
        <w:tc>
          <w:tcPr>
            <w:tcW w:w="4357" w:type="dxa"/>
            <w:vAlign w:val="center"/>
          </w:tcPr>
          <w:p>
            <w:pPr>
              <w:spacing w:line="240" w:lineRule="auto"/>
              <w:jc w:val="center"/>
              <w:rPr>
                <w:rFonts w:hint="eastAsia"/>
              </w:rPr>
            </w:pPr>
            <w:r>
              <w:rPr>
                <w:rFonts w:hint="eastAsia"/>
              </w:rPr>
              <w:t>应对应急或大范围故障</w:t>
            </w:r>
          </w:p>
        </w:tc>
      </w:tr>
    </w:tbl>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2、人员要求</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2.1 驻场服务人员要求具有计算机相关专业大专及以上学历或同类项目一年以上驻场服务经验。</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2.2 服务人员衣着要整洁，佩戴胸卡，使用礼貌用语，待人接物诚恳有耐心。</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2.3 严格遵守医院内部各项规章制度，遵守医院信息和网络安全保密要求，尊重个人隐私，保守医院商业秘密。</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2.4 驻场服务人员须在医院主管部门进行备案，并签订保密协议。</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2.5 驻场服务人员上岗前须到医院信息科接受培训，并通过考核。达不到考核要求或服务过程中不能胜任工作的，服务商需配合更换符合要求的人员。</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asciiTheme="minorEastAsia" w:hAnsiTheme="minorEastAsia" w:eastAsiaTheme="minorEastAsia" w:cstheme="minorEastAsia"/>
        </w:rPr>
        <w:t>2.6 因服务商问题需更换人员的，需提前1个月告知采购人，做好人员更换方案，并得到医院同意。</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3、服务时间要求</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3.1 工作日，驻场服务时间为上午8:00-12:00，下午14:30-17：30。</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3.2 非工作日，驻场工程师与应急响应团队保持24小时通讯联络通畅且具备远程处理能力。</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3.3 应急响应支持：服务商应有完善的应急响应机制，服务期间，如发生重大故障，能够及时组织后备专业技术团队，制定紧急预案，与驻场工程师一起以最快速度进行问题解决，包含但不限于根据采购人的需求和实际情况增派人手、增加驻守时间、增加分巡检频率和人员、非工作时间的应急服务支持、临时性驻场服务等。</w:t>
      </w:r>
    </w:p>
    <w:p>
      <w:pPr>
        <w:kinsoku/>
        <w:spacing w:line="240" w:lineRule="auto"/>
        <w:ind w:right="840"/>
        <w:rPr>
          <w:rFonts w:hint="eastAsia" w:ascii="宋体" w:hAnsi="宋体" w:eastAsia="宋体" w:cs="宋体"/>
          <w:b/>
          <w:sz w:val="24"/>
          <w:szCs w:val="24"/>
        </w:rPr>
      </w:pPr>
      <w:r>
        <w:rPr>
          <w:rFonts w:hint="eastAsia" w:ascii="宋体" w:hAnsi="宋体" w:eastAsia="宋体" w:cs="宋体"/>
          <w:b/>
          <w:sz w:val="24"/>
          <w:szCs w:val="24"/>
        </w:rPr>
        <w:t>四、考核</w:t>
      </w:r>
    </w:p>
    <w:p>
      <w:pPr>
        <w:kinsoku/>
        <w:spacing w:line="240" w:lineRule="auto"/>
        <w:jc w:val="center"/>
        <w:rPr>
          <w:rFonts w:hint="eastAsia" w:ascii="宋体" w:hAnsi="宋体" w:eastAsia="宋体" w:cs="宋体"/>
          <w:b/>
          <w:sz w:val="30"/>
          <w:szCs w:val="30"/>
        </w:rPr>
      </w:pPr>
      <w:r>
        <w:rPr>
          <w:rFonts w:hint="eastAsia" w:ascii="宋体" w:hAnsi="宋体" w:eastAsia="宋体" w:cs="宋体"/>
          <w:b/>
          <w:sz w:val="30"/>
          <w:szCs w:val="30"/>
        </w:rPr>
        <w:t>维保服务考核评分表</w:t>
      </w:r>
    </w:p>
    <w:p>
      <w:pPr>
        <w:kinsoku/>
        <w:spacing w:line="240" w:lineRule="auto"/>
        <w:jc w:val="center"/>
        <w:rPr>
          <w:rFonts w:ascii="宋体" w:hAnsi="宋体" w:cs="宋体"/>
          <w:sz w:val="24"/>
        </w:rPr>
      </w:pPr>
      <w:r>
        <w:rPr>
          <w:rFonts w:hint="eastAsia" w:ascii="宋体" w:hAnsi="宋体" w:cs="宋体"/>
          <w:sz w:val="24"/>
        </w:rPr>
        <w:t>年</w:t>
      </w:r>
      <w:r>
        <w:rPr>
          <w:rFonts w:hint="eastAsia" w:ascii="宋体" w:hAnsi="宋体" w:eastAsia="宋体" w:cs="宋体"/>
          <w:sz w:val="24"/>
        </w:rPr>
        <w:t xml:space="preserve"> </w:t>
      </w:r>
      <w:r>
        <w:rPr>
          <w:rFonts w:hint="eastAsia" w:ascii="宋体" w:hAnsi="宋体" w:cs="宋体"/>
          <w:sz w:val="24"/>
        </w:rPr>
        <w:t>月</w:t>
      </w:r>
    </w:p>
    <w:tbl>
      <w:tblPr>
        <w:tblStyle w:val="9"/>
        <w:tblW w:w="8522" w:type="dxa"/>
        <w:jc w:val="center"/>
        <w:tblLayout w:type="fixed"/>
        <w:tblCellMar>
          <w:top w:w="0" w:type="dxa"/>
          <w:left w:w="108" w:type="dxa"/>
          <w:bottom w:w="0" w:type="dxa"/>
          <w:right w:w="108" w:type="dxa"/>
        </w:tblCellMar>
      </w:tblPr>
      <w:tblGrid>
        <w:gridCol w:w="465"/>
        <w:gridCol w:w="795"/>
        <w:gridCol w:w="1115"/>
        <w:gridCol w:w="3626"/>
        <w:gridCol w:w="848"/>
        <w:gridCol w:w="1673"/>
      </w:tblGrid>
      <w:tr>
        <w:tblPrEx>
          <w:tblCellMar>
            <w:top w:w="0" w:type="dxa"/>
            <w:left w:w="108" w:type="dxa"/>
            <w:bottom w:w="0" w:type="dxa"/>
            <w:right w:w="108" w:type="dxa"/>
          </w:tblCellMar>
        </w:tblPrEx>
        <w:trPr>
          <w:trHeight w:val="270" w:hRule="atLeast"/>
          <w:jc w:val="center"/>
        </w:trPr>
        <w:tc>
          <w:tcPr>
            <w:tcW w:w="465"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textAlignment w:val="center"/>
              <w:rPr>
                <w:rFonts w:hAnsi="宋体" w:cs="宋体"/>
                <w:b/>
                <w:bCs/>
                <w:color w:val="auto"/>
                <w:sz w:val="18"/>
                <w:szCs w:val="18"/>
              </w:rPr>
            </w:pPr>
            <w:r>
              <w:rPr>
                <w:rFonts w:hint="eastAsia" w:hAnsi="宋体" w:cs="宋体"/>
                <w:b/>
                <w:bCs/>
                <w:color w:val="auto"/>
                <w:sz w:val="18"/>
                <w:szCs w:val="18"/>
                <w:lang w:bidi="ar"/>
              </w:rPr>
              <w:t>序号</w:t>
            </w:r>
          </w:p>
        </w:tc>
        <w:tc>
          <w:tcPr>
            <w:tcW w:w="795"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textAlignment w:val="center"/>
              <w:rPr>
                <w:rFonts w:hAnsi="宋体" w:cs="宋体"/>
                <w:b/>
                <w:bCs/>
                <w:color w:val="auto"/>
                <w:sz w:val="18"/>
                <w:szCs w:val="18"/>
              </w:rPr>
            </w:pPr>
            <w:r>
              <w:rPr>
                <w:rFonts w:hint="eastAsia" w:hAnsi="宋体" w:cs="宋体"/>
                <w:b/>
                <w:bCs/>
                <w:color w:val="auto"/>
                <w:sz w:val="18"/>
                <w:szCs w:val="18"/>
                <w:lang w:bidi="ar"/>
              </w:rPr>
              <w:t>分类</w:t>
            </w:r>
          </w:p>
        </w:tc>
        <w:tc>
          <w:tcPr>
            <w:tcW w:w="1115"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textAlignment w:val="center"/>
              <w:rPr>
                <w:rFonts w:hAnsi="宋体" w:cs="宋体"/>
                <w:b/>
                <w:bCs/>
                <w:color w:val="auto"/>
                <w:sz w:val="18"/>
                <w:szCs w:val="18"/>
              </w:rPr>
            </w:pPr>
            <w:r>
              <w:rPr>
                <w:rFonts w:hint="eastAsia" w:hAnsi="宋体" w:cs="宋体"/>
                <w:b/>
                <w:bCs/>
                <w:color w:val="auto"/>
                <w:sz w:val="18"/>
                <w:szCs w:val="18"/>
                <w:lang w:bidi="ar"/>
              </w:rPr>
              <w:t>分项</w:t>
            </w:r>
          </w:p>
        </w:tc>
        <w:tc>
          <w:tcPr>
            <w:tcW w:w="3626"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textAlignment w:val="center"/>
              <w:rPr>
                <w:rFonts w:hAnsi="宋体" w:cs="宋体"/>
                <w:b/>
                <w:bCs/>
                <w:color w:val="auto"/>
                <w:sz w:val="18"/>
                <w:szCs w:val="18"/>
              </w:rPr>
            </w:pPr>
            <w:r>
              <w:rPr>
                <w:rFonts w:hint="eastAsia" w:hAnsi="宋体" w:cs="宋体"/>
                <w:b/>
                <w:bCs/>
                <w:color w:val="auto"/>
                <w:sz w:val="18"/>
                <w:szCs w:val="18"/>
                <w:lang w:bidi="ar"/>
              </w:rPr>
              <w:t>详细描述</w:t>
            </w:r>
          </w:p>
        </w:tc>
        <w:tc>
          <w:tcPr>
            <w:tcW w:w="848"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textAlignment w:val="center"/>
              <w:rPr>
                <w:rFonts w:hint="eastAsia" w:hAnsi="宋体" w:eastAsia="宋体" w:cs="宋体"/>
                <w:b/>
                <w:bCs/>
                <w:color w:val="auto"/>
                <w:sz w:val="18"/>
                <w:szCs w:val="18"/>
                <w:lang w:bidi="ar"/>
              </w:rPr>
            </w:pPr>
            <w:r>
              <w:rPr>
                <w:rFonts w:hint="eastAsia" w:hAnsi="宋体" w:eastAsia="宋体" w:cs="宋体"/>
                <w:b/>
                <w:bCs/>
                <w:color w:val="auto"/>
                <w:sz w:val="18"/>
                <w:szCs w:val="18"/>
                <w:lang w:bidi="ar"/>
              </w:rPr>
              <w:t>扣分分值</w:t>
            </w:r>
          </w:p>
        </w:tc>
        <w:tc>
          <w:tcPr>
            <w:tcW w:w="1673" w:type="dxa"/>
            <w:tcBorders>
              <w:top w:val="single" w:color="auto" w:sz="4" w:space="0"/>
              <w:left w:val="single" w:color="auto" w:sz="4" w:space="0"/>
              <w:bottom w:val="single" w:color="auto" w:sz="4" w:space="0"/>
              <w:right w:val="single" w:color="auto" w:sz="4" w:space="0"/>
            </w:tcBorders>
            <w:shd w:val="clear" w:color="auto" w:fill="D9D9D9"/>
            <w:vAlign w:val="center"/>
          </w:tcPr>
          <w:p>
            <w:pPr>
              <w:spacing w:line="240" w:lineRule="auto"/>
              <w:jc w:val="center"/>
              <w:textAlignment w:val="center"/>
              <w:rPr>
                <w:rFonts w:hint="eastAsia" w:hAnsi="宋体" w:eastAsia="宋体" w:cs="宋体"/>
                <w:b/>
                <w:bCs/>
                <w:color w:val="auto"/>
                <w:sz w:val="18"/>
                <w:szCs w:val="18"/>
                <w:lang w:bidi="ar"/>
              </w:rPr>
            </w:pPr>
            <w:r>
              <w:rPr>
                <w:rFonts w:hint="eastAsia" w:hAnsi="宋体" w:eastAsia="宋体" w:cs="宋体"/>
                <w:b/>
                <w:bCs/>
                <w:color w:val="auto"/>
                <w:sz w:val="18"/>
                <w:szCs w:val="18"/>
                <w:lang w:bidi="ar"/>
              </w:rPr>
              <w:t>扣分说明</w:t>
            </w:r>
          </w:p>
        </w:tc>
      </w:tr>
      <w:tr>
        <w:tblPrEx>
          <w:tblCellMar>
            <w:top w:w="0" w:type="dxa"/>
            <w:left w:w="108" w:type="dxa"/>
            <w:bottom w:w="0" w:type="dxa"/>
            <w:right w:w="108" w:type="dxa"/>
          </w:tblCellMar>
        </w:tblPrEx>
        <w:trPr>
          <w:trHeight w:val="810" w:hRule="atLeast"/>
          <w:jc w:val="center"/>
        </w:trPr>
        <w:tc>
          <w:tcPr>
            <w:tcW w:w="46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1</w:t>
            </w:r>
          </w:p>
        </w:tc>
        <w:tc>
          <w:tcPr>
            <w:tcW w:w="79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ascii="宋体" w:hAnsi="宋体" w:eastAsia="宋体" w:cs="宋体"/>
                <w:color w:val="auto"/>
                <w:sz w:val="18"/>
                <w:szCs w:val="18"/>
                <w:lang w:bidi="ar"/>
              </w:rPr>
              <w:t>安全</w:t>
            </w:r>
            <w:r>
              <w:rPr>
                <w:rFonts w:hint="eastAsia" w:hAnsi="宋体" w:cs="宋体"/>
                <w:color w:val="auto"/>
                <w:sz w:val="18"/>
                <w:szCs w:val="18"/>
                <w:lang w:bidi="ar"/>
              </w:rPr>
              <w:t>运维人员管理</w:t>
            </w:r>
          </w:p>
        </w:tc>
        <w:tc>
          <w:tcPr>
            <w:tcW w:w="1115"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bookmarkStart w:id="5" w:name="OLE_LINK1"/>
            <w:r>
              <w:rPr>
                <w:rFonts w:hint="eastAsia" w:ascii="宋体" w:hAnsi="宋体" w:eastAsia="宋体" w:cs="宋体"/>
                <w:color w:val="auto"/>
                <w:sz w:val="18"/>
                <w:szCs w:val="18"/>
                <w:lang w:bidi="ar"/>
              </w:rPr>
              <w:t>驻场</w:t>
            </w:r>
            <w:r>
              <w:rPr>
                <w:rFonts w:hint="eastAsia" w:hAnsi="宋体" w:cs="宋体"/>
                <w:color w:val="auto"/>
                <w:sz w:val="18"/>
                <w:szCs w:val="18"/>
                <w:lang w:bidi="ar"/>
              </w:rPr>
              <w:t>人员资质</w:t>
            </w:r>
            <w:bookmarkEnd w:id="5"/>
          </w:p>
        </w:tc>
        <w:tc>
          <w:tcPr>
            <w:tcW w:w="3626"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rPr>
            </w:pPr>
            <w:r>
              <w:rPr>
                <w:rFonts w:hint="eastAsia" w:hAnsi="宋体" w:cs="宋体"/>
                <w:color w:val="auto"/>
                <w:sz w:val="18"/>
                <w:szCs w:val="18"/>
                <w:lang w:bidi="ar"/>
              </w:rPr>
              <w:t>服务商需按照合同、需求文件以及响应文件要求，提供符合资质要求的</w:t>
            </w:r>
            <w:r>
              <w:rPr>
                <w:rFonts w:hint="eastAsia" w:hAnsi="宋体" w:eastAsia="宋体" w:cs="宋体"/>
                <w:color w:val="auto"/>
                <w:sz w:val="18"/>
                <w:szCs w:val="18"/>
                <w:lang w:bidi="ar"/>
              </w:rPr>
              <w:t>驻场服务</w:t>
            </w:r>
            <w:r>
              <w:rPr>
                <w:rFonts w:hint="eastAsia" w:hAnsi="宋体" w:cs="宋体"/>
                <w:color w:val="auto"/>
                <w:sz w:val="18"/>
                <w:szCs w:val="18"/>
                <w:lang w:bidi="ar"/>
              </w:rPr>
              <w:t>人员。如提供人员与要求不符的，扣</w:t>
            </w:r>
            <w:r>
              <w:rPr>
                <w:rFonts w:hint="eastAsia" w:hAnsi="宋体" w:cs="宋体" w:eastAsiaTheme="minorEastAsia"/>
                <w:color w:val="auto"/>
                <w:sz w:val="18"/>
                <w:szCs w:val="18"/>
                <w:lang w:bidi="ar"/>
              </w:rPr>
              <w:t>5</w:t>
            </w:r>
            <w:r>
              <w:rPr>
                <w:rFonts w:hint="eastAsia" w:hAnsi="宋体" w:cs="宋体"/>
                <w:color w:val="auto"/>
                <w:sz w:val="18"/>
                <w:szCs w:val="18"/>
                <w:lang w:bidi="ar"/>
              </w:rPr>
              <w:t>分。</w:t>
            </w:r>
          </w:p>
        </w:tc>
        <w:tc>
          <w:tcPr>
            <w:tcW w:w="848"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c>
          <w:tcPr>
            <w:tcW w:w="1673"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81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ascii="宋体" w:hAnsi="宋体" w:eastAsia="宋体" w:cs="宋体"/>
                <w:color w:val="auto"/>
                <w:sz w:val="18"/>
                <w:szCs w:val="18"/>
                <w:lang w:bidi="ar"/>
              </w:rPr>
              <w:t>项目经理资质与工作能力</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rPr>
            </w:pPr>
            <w:r>
              <w:rPr>
                <w:rFonts w:hint="eastAsia" w:hAnsi="宋体" w:cs="宋体"/>
                <w:color w:val="auto"/>
                <w:sz w:val="18"/>
                <w:szCs w:val="18"/>
                <w:lang w:bidi="ar"/>
              </w:rPr>
              <w:t>服务商需按照合同、需求文件以及响应文件要求</w:t>
            </w:r>
            <w:r>
              <w:rPr>
                <w:rFonts w:hint="eastAsia" w:ascii="宋体" w:hAnsi="宋体" w:eastAsia="宋体" w:cs="宋体"/>
                <w:color w:val="auto"/>
                <w:sz w:val="18"/>
                <w:szCs w:val="18"/>
                <w:lang w:bidi="ar"/>
              </w:rPr>
              <w:t>为此项目配备符合要求的项目经理，项目经理应具备良好的沟通协调能力，如发现项目经理与要求不符、常无法联系、不能胜任工作的情况，扣5分。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243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人员管理规范性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rPr>
            </w:pPr>
            <w:r>
              <w:rPr>
                <w:rFonts w:hint="eastAsia" w:hAnsi="宋体" w:cs="宋体"/>
                <w:color w:val="auto"/>
                <w:sz w:val="18"/>
                <w:szCs w:val="18"/>
                <w:lang w:bidi="ar"/>
              </w:rPr>
              <w:t>1、</w:t>
            </w:r>
            <w:r>
              <w:rPr>
                <w:rFonts w:hint="eastAsia" w:ascii="宋体" w:hAnsi="宋体" w:eastAsia="宋体" w:cs="宋体"/>
                <w:color w:val="auto"/>
                <w:sz w:val="18"/>
                <w:szCs w:val="18"/>
                <w:lang w:bidi="ar"/>
              </w:rPr>
              <w:t>驻场人员</w:t>
            </w:r>
            <w:r>
              <w:rPr>
                <w:rFonts w:hint="eastAsia" w:hAnsi="宋体" w:cs="宋体"/>
                <w:color w:val="auto"/>
                <w:sz w:val="18"/>
                <w:szCs w:val="18"/>
                <w:lang w:bidi="ar"/>
              </w:rPr>
              <w:t>轮换</w:t>
            </w:r>
            <w:r>
              <w:rPr>
                <w:rFonts w:hint="eastAsia" w:ascii="宋体" w:hAnsi="宋体" w:eastAsia="宋体" w:cs="宋体"/>
                <w:color w:val="auto"/>
                <w:sz w:val="18"/>
                <w:szCs w:val="18"/>
                <w:lang w:bidi="ar"/>
              </w:rPr>
              <w:t>需提前</w:t>
            </w:r>
            <w:r>
              <w:rPr>
                <w:rFonts w:hint="eastAsia" w:hAnsi="宋体" w:cs="宋体"/>
                <w:color w:val="auto"/>
                <w:sz w:val="18"/>
                <w:szCs w:val="18"/>
                <w:lang w:bidi="ar"/>
              </w:rPr>
              <w:t>报信息科，人员变动必须经过信息科批准。违反规定扣</w:t>
            </w:r>
            <w:r>
              <w:rPr>
                <w:rFonts w:hint="eastAsia" w:hAnsi="宋体" w:cs="宋体" w:eastAsiaTheme="minorEastAsia"/>
                <w:color w:val="auto"/>
                <w:sz w:val="18"/>
                <w:szCs w:val="18"/>
                <w:lang w:bidi="ar"/>
              </w:rPr>
              <w:t>2</w:t>
            </w:r>
            <w:r>
              <w:rPr>
                <w:rFonts w:hint="eastAsia" w:hAnsi="宋体" w:cs="宋体"/>
                <w:color w:val="auto"/>
                <w:sz w:val="18"/>
                <w:szCs w:val="18"/>
                <w:lang w:bidi="ar"/>
              </w:rPr>
              <w:t>分。</w:t>
            </w:r>
            <w:r>
              <w:rPr>
                <w:rFonts w:hint="eastAsia" w:hAnsi="宋体" w:cs="宋体"/>
                <w:color w:val="auto"/>
                <w:sz w:val="18"/>
                <w:szCs w:val="18"/>
                <w:lang w:bidi="ar"/>
              </w:rPr>
              <w:br w:type="textWrapping"/>
            </w:r>
            <w:r>
              <w:rPr>
                <w:rFonts w:hint="eastAsia" w:hAnsi="宋体" w:cs="宋体"/>
                <w:color w:val="auto"/>
                <w:sz w:val="18"/>
                <w:szCs w:val="18"/>
                <w:lang w:bidi="ar"/>
              </w:rPr>
              <w:t>2、</w:t>
            </w:r>
            <w:r>
              <w:rPr>
                <w:rFonts w:hint="eastAsia" w:ascii="宋体" w:hAnsi="宋体" w:eastAsia="宋体" w:cs="宋体"/>
                <w:color w:val="auto"/>
                <w:sz w:val="18"/>
                <w:szCs w:val="18"/>
                <w:lang w:bidi="ar"/>
              </w:rPr>
              <w:t>驻场人员</w:t>
            </w:r>
            <w:r>
              <w:rPr>
                <w:rFonts w:hint="eastAsia" w:hAnsi="宋体" w:cs="宋体"/>
                <w:color w:val="auto"/>
                <w:sz w:val="18"/>
                <w:szCs w:val="18"/>
                <w:lang w:bidi="ar"/>
              </w:rPr>
              <w:t>不得有串岗、脱岗、迟到和早退行为，发现一次扣1分；若因此造成严重后果者，每发现一次扣2分。</w:t>
            </w:r>
            <w:r>
              <w:rPr>
                <w:rFonts w:hint="eastAsia" w:hAnsi="宋体" w:cs="宋体"/>
                <w:color w:val="auto"/>
                <w:sz w:val="18"/>
                <w:szCs w:val="18"/>
                <w:lang w:bidi="ar"/>
              </w:rPr>
              <w:br w:type="textWrapping"/>
            </w:r>
            <w:r>
              <w:rPr>
                <w:rFonts w:hint="eastAsia" w:hAnsi="宋体" w:cs="宋体"/>
                <w:color w:val="auto"/>
                <w:sz w:val="18"/>
                <w:szCs w:val="18"/>
                <w:lang w:bidi="ar"/>
              </w:rPr>
              <w:t>3、</w:t>
            </w:r>
            <w:r>
              <w:rPr>
                <w:rFonts w:hint="eastAsia" w:hAnsi="宋体" w:eastAsia="宋体" w:cs="宋体"/>
                <w:color w:val="auto"/>
                <w:sz w:val="18"/>
                <w:szCs w:val="18"/>
                <w:lang w:bidi="ar"/>
              </w:rPr>
              <w:t>服务</w:t>
            </w:r>
            <w:r>
              <w:rPr>
                <w:rFonts w:hint="eastAsia" w:hAnsi="宋体" w:cs="宋体"/>
                <w:color w:val="auto"/>
                <w:sz w:val="18"/>
                <w:szCs w:val="18"/>
                <w:lang w:bidi="ar"/>
              </w:rPr>
              <w:t>人员应加强服务意识，积极做好</w:t>
            </w:r>
            <w:r>
              <w:rPr>
                <w:rFonts w:hint="eastAsia" w:ascii="宋体" w:hAnsi="宋体" w:eastAsia="宋体" w:cs="宋体"/>
                <w:color w:val="auto"/>
                <w:sz w:val="18"/>
                <w:szCs w:val="18"/>
                <w:lang w:bidi="ar"/>
              </w:rPr>
              <w:t>安全</w:t>
            </w:r>
            <w:r>
              <w:rPr>
                <w:rFonts w:hint="eastAsia" w:hAnsi="宋体" w:cs="宋体"/>
                <w:color w:val="auto"/>
                <w:sz w:val="18"/>
                <w:szCs w:val="18"/>
                <w:lang w:bidi="ar"/>
              </w:rPr>
              <w:t>运维工作。如发生运维人员不服从信息科工作安排的，扣2分/次。情节严重的扣8分/次。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62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驻场人员行为规范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rPr>
            </w:pPr>
            <w:r>
              <w:rPr>
                <w:rFonts w:hint="eastAsia" w:hAnsi="宋体" w:cs="宋体"/>
                <w:color w:val="auto"/>
                <w:sz w:val="18"/>
                <w:szCs w:val="18"/>
                <w:lang w:bidi="ar"/>
              </w:rPr>
              <w:t>1、若有疫情，严格配合医院的疫情防控要求，未按信息科传达的要求执行的，扣1分/人次。如有出市出省的，提前跟信息科报备，如发生未报备导致影响后续驻场工作的，扣3分/次。</w:t>
            </w:r>
            <w:r>
              <w:rPr>
                <w:rFonts w:hint="eastAsia" w:hAnsi="宋体" w:cs="宋体"/>
                <w:color w:val="auto"/>
                <w:sz w:val="18"/>
                <w:szCs w:val="18"/>
                <w:lang w:bidi="ar"/>
              </w:rPr>
              <w:br w:type="textWrapping"/>
            </w:r>
            <w:r>
              <w:rPr>
                <w:rFonts w:hint="eastAsia" w:hAnsi="宋体" w:cs="宋体"/>
                <w:color w:val="auto"/>
                <w:sz w:val="18"/>
                <w:szCs w:val="18"/>
                <w:lang w:bidi="ar"/>
              </w:rPr>
              <w:t>2、遵守信息科的卫生及消防要求，严禁科室内吸烟，如有发现，扣0.5分/次。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81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运维服务质量</w:t>
            </w:r>
          </w:p>
        </w:tc>
        <w:tc>
          <w:tcPr>
            <w:tcW w:w="1115" w:type="dxa"/>
            <w:tcBorders>
              <w:top w:val="nil"/>
              <w:left w:val="nil"/>
              <w:bottom w:val="nil"/>
              <w:right w:val="nil"/>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运维服务及时性</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rPr>
            </w:pPr>
            <w:r>
              <w:rPr>
                <w:rFonts w:hAnsi="宋体" w:cs="宋体"/>
                <w:color w:val="auto"/>
                <w:sz w:val="18"/>
                <w:szCs w:val="18"/>
                <w:lang w:bidi="ar"/>
              </w:rPr>
              <w:t>对于</w:t>
            </w:r>
            <w:r>
              <w:rPr>
                <w:rFonts w:hint="eastAsia" w:ascii="宋体" w:hAnsi="宋体" w:eastAsia="宋体" w:cs="宋体"/>
                <w:color w:val="auto"/>
                <w:sz w:val="18"/>
                <w:szCs w:val="18"/>
                <w:lang w:bidi="ar"/>
              </w:rPr>
              <w:t>医院日常安全问题及风险</w:t>
            </w:r>
            <w:r>
              <w:rPr>
                <w:rFonts w:hAnsi="宋体" w:cs="宋体"/>
                <w:color w:val="auto"/>
                <w:sz w:val="18"/>
                <w:szCs w:val="18"/>
                <w:lang w:bidi="ar"/>
              </w:rPr>
              <w:t>，</w:t>
            </w:r>
            <w:r>
              <w:rPr>
                <w:rFonts w:hint="eastAsia" w:ascii="宋体" w:hAnsi="宋体" w:eastAsia="宋体" w:cs="宋体"/>
                <w:color w:val="auto"/>
                <w:sz w:val="18"/>
                <w:szCs w:val="18"/>
                <w:lang w:bidi="ar"/>
              </w:rPr>
              <w:t>发现或处理</w:t>
            </w:r>
            <w:r>
              <w:rPr>
                <w:rFonts w:hAnsi="宋体" w:cs="宋体"/>
                <w:color w:val="auto"/>
                <w:sz w:val="18"/>
                <w:szCs w:val="18"/>
                <w:lang w:bidi="ar"/>
              </w:rPr>
              <w:t>不及时的（按合同或需求文件的及时性要求），扣1分/次。由于处理不及时而造成严重影响的，扣3分/次。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540"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ascii="宋体" w:hAnsi="宋体" w:eastAsia="宋体" w:cs="宋体"/>
                <w:color w:val="auto"/>
                <w:sz w:val="18"/>
                <w:szCs w:val="18"/>
                <w:lang w:bidi="ar"/>
              </w:rPr>
              <w:t>运维服务影响</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int="eastAsia" w:hAnsi="宋体" w:cs="宋体" w:eastAsiaTheme="minorEastAsia"/>
                <w:color w:val="auto"/>
                <w:sz w:val="18"/>
                <w:szCs w:val="18"/>
              </w:rPr>
            </w:pPr>
            <w:r>
              <w:rPr>
                <w:rFonts w:hAnsi="宋体" w:cs="宋体"/>
                <w:color w:val="auto"/>
                <w:sz w:val="18"/>
                <w:szCs w:val="18"/>
                <w:lang w:bidi="ar"/>
              </w:rPr>
              <w:t>如</w:t>
            </w:r>
            <w:r>
              <w:rPr>
                <w:rFonts w:hint="eastAsia" w:ascii="宋体" w:hAnsi="宋体" w:eastAsia="宋体" w:cs="宋体"/>
                <w:color w:val="auto"/>
                <w:sz w:val="18"/>
                <w:szCs w:val="18"/>
                <w:lang w:bidi="ar"/>
              </w:rPr>
              <w:t>日常巡查中发现安全问题及隐患应及时向信息科报备并评估影响</w:t>
            </w:r>
            <w:r>
              <w:rPr>
                <w:rFonts w:hAnsi="宋体" w:cs="宋体"/>
                <w:color w:val="auto"/>
                <w:sz w:val="18"/>
                <w:szCs w:val="18"/>
                <w:lang w:bidi="ar"/>
              </w:rPr>
              <w:t>，</w:t>
            </w:r>
            <w:r>
              <w:rPr>
                <w:rFonts w:hint="eastAsia" w:ascii="宋体" w:hAnsi="宋体" w:eastAsia="宋体" w:cs="宋体"/>
                <w:color w:val="auto"/>
                <w:sz w:val="18"/>
                <w:szCs w:val="18"/>
                <w:lang w:bidi="ar"/>
              </w:rPr>
              <w:t>盲目处理安全问题导致系统或网络故障的</w:t>
            </w:r>
            <w:r>
              <w:rPr>
                <w:rFonts w:hAnsi="宋体" w:cs="宋体"/>
                <w:color w:val="auto"/>
                <w:sz w:val="18"/>
                <w:szCs w:val="18"/>
                <w:lang w:bidi="ar"/>
              </w:rPr>
              <w:t>，每次扣0.5分</w:t>
            </w:r>
            <w:r>
              <w:rPr>
                <w:rFonts w:hint="eastAsia" w:ascii="宋体" w:hAnsi="宋体" w:eastAsia="宋体" w:cs="宋体"/>
                <w:color w:val="auto"/>
                <w:sz w:val="18"/>
                <w:szCs w:val="18"/>
                <w:lang w:bidi="ar"/>
              </w:rPr>
              <w:t>，造成严重影响的扣2分。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350" w:hRule="atLeast"/>
          <w:jc w:val="center"/>
        </w:trPr>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安全管理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系统安全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rPr>
            </w:pPr>
            <w:r>
              <w:rPr>
                <w:rStyle w:val="25"/>
                <w:color w:val="auto"/>
                <w:sz w:val="18"/>
                <w:szCs w:val="18"/>
                <w:lang w:bidi="ar"/>
              </w:rPr>
              <w:t>1、</w:t>
            </w:r>
            <w:r>
              <w:rPr>
                <w:rStyle w:val="25"/>
                <w:rFonts w:hint="eastAsia"/>
                <w:color w:val="auto"/>
                <w:sz w:val="18"/>
                <w:szCs w:val="18"/>
                <w:lang w:bidi="ar"/>
              </w:rPr>
              <w:t>按要求</w:t>
            </w:r>
            <w:r>
              <w:rPr>
                <w:rStyle w:val="25"/>
                <w:color w:val="auto"/>
                <w:sz w:val="18"/>
                <w:szCs w:val="18"/>
                <w:lang w:bidi="ar"/>
              </w:rPr>
              <w:t>积极配合</w:t>
            </w:r>
            <w:r>
              <w:rPr>
                <w:rStyle w:val="25"/>
                <w:rFonts w:hint="eastAsia"/>
                <w:color w:val="auto"/>
                <w:sz w:val="18"/>
                <w:szCs w:val="18"/>
                <w:lang w:bidi="ar"/>
              </w:rPr>
              <w:t>医院</w:t>
            </w:r>
            <w:r>
              <w:rPr>
                <w:rStyle w:val="25"/>
                <w:color w:val="auto"/>
                <w:sz w:val="18"/>
                <w:szCs w:val="18"/>
                <w:lang w:bidi="ar"/>
              </w:rPr>
              <w:t>的</w:t>
            </w:r>
            <w:r>
              <w:rPr>
                <w:rStyle w:val="25"/>
                <w:rFonts w:hint="eastAsia"/>
                <w:color w:val="auto"/>
                <w:sz w:val="18"/>
                <w:szCs w:val="18"/>
                <w:lang w:bidi="ar"/>
              </w:rPr>
              <w:t>信息</w:t>
            </w:r>
            <w:r>
              <w:rPr>
                <w:rStyle w:val="25"/>
                <w:color w:val="auto"/>
                <w:sz w:val="18"/>
                <w:szCs w:val="18"/>
                <w:lang w:bidi="ar"/>
              </w:rPr>
              <w:t>安全审查及整改，无法在规定时间内完成的扣2分/次。不配合整改的，扣</w:t>
            </w:r>
            <w:r>
              <w:rPr>
                <w:rStyle w:val="25"/>
                <w:rFonts w:hint="eastAsia"/>
                <w:color w:val="auto"/>
                <w:sz w:val="18"/>
                <w:szCs w:val="18"/>
                <w:lang w:bidi="ar"/>
              </w:rPr>
              <w:t>5</w:t>
            </w:r>
            <w:r>
              <w:rPr>
                <w:rStyle w:val="25"/>
                <w:color w:val="auto"/>
                <w:sz w:val="18"/>
                <w:szCs w:val="18"/>
                <w:lang w:bidi="ar"/>
              </w:rPr>
              <w:t>分/次。</w:t>
            </w:r>
            <w:r>
              <w:rPr>
                <w:rStyle w:val="25"/>
                <w:color w:val="auto"/>
                <w:sz w:val="18"/>
                <w:szCs w:val="18"/>
                <w:lang w:bidi="ar"/>
              </w:rPr>
              <w:br w:type="textWrapping"/>
            </w:r>
            <w:r>
              <w:rPr>
                <w:rStyle w:val="26"/>
                <w:rFonts w:hint="default"/>
                <w:color w:val="auto"/>
                <w:sz w:val="18"/>
                <w:szCs w:val="18"/>
                <w:lang w:bidi="ar"/>
              </w:rPr>
              <w:t>2、因</w:t>
            </w:r>
            <w:r>
              <w:rPr>
                <w:rStyle w:val="26"/>
                <w:color w:val="auto"/>
                <w:sz w:val="18"/>
                <w:szCs w:val="18"/>
                <w:lang w:bidi="ar"/>
              </w:rPr>
              <w:t>信息</w:t>
            </w:r>
            <w:r>
              <w:rPr>
                <w:rStyle w:val="26"/>
                <w:rFonts w:hint="default"/>
                <w:color w:val="auto"/>
                <w:sz w:val="18"/>
                <w:szCs w:val="18"/>
                <w:lang w:bidi="ar"/>
              </w:rPr>
              <w:t>安全等原因，被上级部门通报</w:t>
            </w:r>
            <w:r>
              <w:rPr>
                <w:rStyle w:val="26"/>
                <w:color w:val="auto"/>
                <w:sz w:val="18"/>
                <w:szCs w:val="18"/>
                <w:lang w:bidi="ar"/>
              </w:rPr>
              <w:t>且不积极配合整改</w:t>
            </w:r>
            <w:r>
              <w:rPr>
                <w:rStyle w:val="26"/>
                <w:rFonts w:hint="default"/>
                <w:color w:val="auto"/>
                <w:sz w:val="18"/>
                <w:szCs w:val="18"/>
                <w:lang w:bidi="ar"/>
              </w:rPr>
              <w:t>的，每次扣3分。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Style w:val="25"/>
                <w:rFonts w:hint="eastAsia"/>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Style w:val="25"/>
                <w:rFonts w:hint="eastAsia"/>
                <w:color w:val="auto"/>
                <w:sz w:val="18"/>
                <w:szCs w:val="18"/>
                <w:lang w:bidi="ar"/>
              </w:rPr>
            </w:pPr>
          </w:p>
        </w:tc>
      </w:tr>
      <w:tr>
        <w:tblPrEx>
          <w:tblCellMar>
            <w:top w:w="0" w:type="dxa"/>
            <w:left w:w="108" w:type="dxa"/>
            <w:bottom w:w="0" w:type="dxa"/>
            <w:right w:w="108" w:type="dxa"/>
          </w:tblCellMar>
        </w:tblPrEx>
        <w:trPr>
          <w:trHeight w:val="2212" w:hRule="atLeast"/>
          <w:jc w:val="center"/>
        </w:trPr>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Ansi="宋体" w:cs="宋体"/>
                <w:color w:val="auto"/>
                <w:sz w:val="18"/>
                <w:szCs w:val="18"/>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Ansi="宋体" w:cs="宋体"/>
                <w:color w:val="auto"/>
                <w:sz w:val="18"/>
                <w:szCs w:val="18"/>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信息安全</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rPr>
            </w:pPr>
            <w:r>
              <w:rPr>
                <w:rFonts w:hAnsi="宋体" w:cs="宋体"/>
                <w:color w:val="auto"/>
                <w:sz w:val="18"/>
                <w:szCs w:val="18"/>
                <w:lang w:bidi="ar"/>
              </w:rPr>
              <w:t>1、</w:t>
            </w:r>
            <w:r>
              <w:rPr>
                <w:rFonts w:hint="eastAsia" w:hAnsi="宋体" w:eastAsia="宋体" w:cs="宋体"/>
                <w:color w:val="auto"/>
                <w:sz w:val="18"/>
                <w:szCs w:val="18"/>
                <w:lang w:bidi="ar"/>
              </w:rPr>
              <w:t>驻场</w:t>
            </w:r>
            <w:r>
              <w:rPr>
                <w:rFonts w:hAnsi="宋体" w:cs="宋体"/>
                <w:color w:val="auto"/>
                <w:sz w:val="18"/>
                <w:szCs w:val="18"/>
                <w:lang w:bidi="ar"/>
              </w:rPr>
              <w:t>人员如需出入机房的，需严格按照信息科的机房出入管理和安全管理要求，未按要求执行的，扣2分/次。如因违规操作，造成严重影响的，扣10分/次。</w:t>
            </w:r>
            <w:r>
              <w:rPr>
                <w:rFonts w:hAnsi="宋体" w:cs="宋体"/>
                <w:color w:val="auto"/>
                <w:sz w:val="18"/>
                <w:szCs w:val="18"/>
                <w:lang w:bidi="ar"/>
              </w:rPr>
              <w:br w:type="textWrapping"/>
            </w:r>
            <w:r>
              <w:rPr>
                <w:rFonts w:hAnsi="宋体" w:cs="宋体"/>
                <w:color w:val="auto"/>
                <w:sz w:val="18"/>
                <w:szCs w:val="18"/>
                <w:lang w:bidi="ar"/>
              </w:rPr>
              <w:t>2、加强系统的数据安全管理。</w:t>
            </w:r>
            <w:r>
              <w:rPr>
                <w:rFonts w:hint="eastAsia" w:ascii="宋体" w:hAnsi="宋体" w:eastAsia="宋体" w:cs="宋体"/>
                <w:color w:val="auto"/>
                <w:sz w:val="18"/>
                <w:szCs w:val="18"/>
                <w:lang w:bidi="ar"/>
              </w:rPr>
              <w:t>因驻场人员工作失误导致</w:t>
            </w:r>
            <w:r>
              <w:rPr>
                <w:rFonts w:hAnsi="宋体" w:cs="宋体"/>
                <w:color w:val="auto"/>
                <w:sz w:val="18"/>
                <w:szCs w:val="18"/>
                <w:lang w:bidi="ar"/>
              </w:rPr>
              <w:t>数据丢失的，</w:t>
            </w:r>
            <w:r>
              <w:rPr>
                <w:rFonts w:hint="eastAsia" w:ascii="宋体" w:hAnsi="宋体" w:eastAsia="宋体" w:cs="宋体"/>
                <w:color w:val="auto"/>
                <w:sz w:val="18"/>
                <w:szCs w:val="18"/>
                <w:lang w:bidi="ar"/>
              </w:rPr>
              <w:t>经核实，</w:t>
            </w:r>
            <w:r>
              <w:rPr>
                <w:rFonts w:hAnsi="宋体" w:cs="宋体"/>
                <w:color w:val="auto"/>
                <w:sz w:val="18"/>
                <w:szCs w:val="18"/>
                <w:lang w:bidi="ar"/>
              </w:rPr>
              <w:t>每次扣2分。</w:t>
            </w:r>
            <w:r>
              <w:rPr>
                <w:rFonts w:hAnsi="宋体" w:cs="宋体"/>
                <w:color w:val="auto"/>
                <w:sz w:val="18"/>
                <w:szCs w:val="18"/>
                <w:lang w:bidi="ar"/>
              </w:rPr>
              <w:br w:type="textWrapping"/>
            </w:r>
            <w:r>
              <w:rPr>
                <w:rFonts w:hAnsi="宋体" w:cs="宋体"/>
                <w:color w:val="auto"/>
                <w:sz w:val="18"/>
                <w:szCs w:val="18"/>
                <w:lang w:bidi="ar"/>
              </w:rPr>
              <w:t>3、加强</w:t>
            </w:r>
            <w:r>
              <w:rPr>
                <w:rFonts w:hint="eastAsia" w:hAnsi="宋体" w:eastAsia="宋体" w:cs="宋体"/>
                <w:color w:val="auto"/>
                <w:sz w:val="18"/>
                <w:szCs w:val="18"/>
                <w:lang w:bidi="ar"/>
              </w:rPr>
              <w:t>驻场</w:t>
            </w:r>
            <w:r>
              <w:rPr>
                <w:rFonts w:hAnsi="宋体" w:cs="宋体"/>
                <w:color w:val="auto"/>
                <w:sz w:val="18"/>
                <w:szCs w:val="18"/>
                <w:lang w:bidi="ar"/>
              </w:rPr>
              <w:t>人员的信息保密教育，如发生利用工作之便，窃取系统数据的，</w:t>
            </w:r>
            <w:r>
              <w:rPr>
                <w:rFonts w:hint="eastAsia" w:ascii="宋体" w:hAnsi="宋体" w:eastAsia="宋体" w:cs="宋体"/>
                <w:color w:val="auto"/>
                <w:sz w:val="18"/>
                <w:szCs w:val="18"/>
                <w:lang w:bidi="ar"/>
              </w:rPr>
              <w:t>经核实</w:t>
            </w:r>
            <w:r>
              <w:rPr>
                <w:rFonts w:hAnsi="宋体" w:cs="宋体"/>
                <w:color w:val="auto"/>
                <w:sz w:val="18"/>
                <w:szCs w:val="18"/>
                <w:lang w:bidi="ar"/>
              </w:rPr>
              <w:t>扣40分/次，并移交司法机关处置。</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日常巡检管理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日常巡检</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int="eastAsia" w:hAnsi="宋体" w:cs="宋体" w:eastAsiaTheme="minorEastAsia"/>
                <w:color w:val="auto"/>
                <w:sz w:val="18"/>
                <w:szCs w:val="18"/>
              </w:rPr>
            </w:pPr>
            <w:r>
              <w:rPr>
                <w:rFonts w:hAnsi="宋体" w:cs="宋体"/>
                <w:color w:val="auto"/>
                <w:sz w:val="18"/>
                <w:szCs w:val="18"/>
                <w:lang w:bidi="ar"/>
              </w:rPr>
              <w:t>1、项目</w:t>
            </w:r>
            <w:r>
              <w:rPr>
                <w:rFonts w:hint="eastAsia" w:ascii="宋体" w:hAnsi="宋体" w:eastAsia="宋体" w:cs="宋体"/>
                <w:color w:val="auto"/>
                <w:sz w:val="18"/>
                <w:szCs w:val="18"/>
                <w:lang w:bidi="ar"/>
              </w:rPr>
              <w:t>经理</w:t>
            </w:r>
            <w:r>
              <w:rPr>
                <w:rFonts w:hAnsi="宋体" w:cs="宋体"/>
                <w:color w:val="auto"/>
                <w:sz w:val="18"/>
                <w:szCs w:val="18"/>
                <w:lang w:bidi="ar"/>
              </w:rPr>
              <w:t>按合同或需求文件的规定</w:t>
            </w:r>
            <w:r>
              <w:rPr>
                <w:rFonts w:hint="eastAsia" w:ascii="宋体" w:hAnsi="宋体" w:eastAsia="宋体" w:cs="宋体"/>
                <w:color w:val="auto"/>
                <w:sz w:val="18"/>
                <w:szCs w:val="18"/>
                <w:lang w:bidi="ar"/>
              </w:rPr>
              <w:t>对驻场人员负监督责任，并每月至少一次</w:t>
            </w:r>
            <w:r>
              <w:rPr>
                <w:rFonts w:hAnsi="宋体" w:cs="宋体"/>
                <w:color w:val="auto"/>
                <w:sz w:val="18"/>
                <w:szCs w:val="18"/>
                <w:lang w:bidi="ar"/>
              </w:rPr>
              <w:t>进行</w:t>
            </w:r>
            <w:r>
              <w:rPr>
                <w:rFonts w:hint="eastAsia" w:ascii="宋体" w:hAnsi="宋体" w:eastAsia="宋体" w:cs="宋体"/>
                <w:color w:val="auto"/>
                <w:sz w:val="18"/>
                <w:szCs w:val="18"/>
                <w:lang w:bidi="ar"/>
              </w:rPr>
              <w:t>现场</w:t>
            </w:r>
            <w:r>
              <w:rPr>
                <w:rFonts w:hAnsi="宋体" w:cs="宋体"/>
                <w:color w:val="auto"/>
                <w:sz w:val="18"/>
                <w:szCs w:val="18"/>
                <w:lang w:bidi="ar"/>
              </w:rPr>
              <w:t>巡检</w:t>
            </w:r>
            <w:r>
              <w:rPr>
                <w:rFonts w:hint="eastAsia" w:ascii="宋体" w:hAnsi="宋体" w:eastAsia="宋体" w:cs="宋体"/>
                <w:color w:val="auto"/>
                <w:sz w:val="18"/>
                <w:szCs w:val="18"/>
                <w:lang w:bidi="ar"/>
              </w:rPr>
              <w:t>，检查驻场人员工作情况</w:t>
            </w:r>
            <w:r>
              <w:rPr>
                <w:rFonts w:hAnsi="宋体" w:cs="宋体"/>
                <w:color w:val="auto"/>
                <w:sz w:val="18"/>
                <w:szCs w:val="18"/>
                <w:lang w:bidi="ar"/>
              </w:rPr>
              <w:t>并填写巡检记录，未执行的扣1分/次。</w:t>
            </w:r>
            <w:r>
              <w:rPr>
                <w:rFonts w:hAnsi="宋体" w:cs="宋体"/>
                <w:color w:val="auto"/>
                <w:sz w:val="18"/>
                <w:szCs w:val="18"/>
                <w:lang w:bidi="ar"/>
              </w:rPr>
              <w:br w:type="textWrapping"/>
            </w:r>
            <w:r>
              <w:rPr>
                <w:rFonts w:hAnsi="宋体" w:cs="宋体"/>
                <w:color w:val="auto"/>
                <w:sz w:val="18"/>
                <w:szCs w:val="18"/>
                <w:lang w:bidi="ar"/>
              </w:rPr>
              <w:t>2、由于</w:t>
            </w:r>
            <w:r>
              <w:rPr>
                <w:rFonts w:hint="eastAsia" w:ascii="宋体" w:hAnsi="宋体" w:eastAsia="宋体" w:cs="宋体"/>
                <w:color w:val="auto"/>
                <w:sz w:val="18"/>
                <w:szCs w:val="18"/>
                <w:lang w:bidi="ar"/>
              </w:rPr>
              <w:t>项目经理督导、</w:t>
            </w:r>
            <w:r>
              <w:rPr>
                <w:rFonts w:hAnsi="宋体" w:cs="宋体"/>
                <w:color w:val="auto"/>
                <w:sz w:val="18"/>
                <w:szCs w:val="18"/>
                <w:lang w:bidi="ar"/>
              </w:rPr>
              <w:t>巡检不到位</w:t>
            </w:r>
            <w:r>
              <w:rPr>
                <w:rFonts w:hint="eastAsia" w:ascii="宋体" w:hAnsi="宋体" w:eastAsia="宋体" w:cs="宋体"/>
                <w:color w:val="auto"/>
                <w:sz w:val="18"/>
                <w:szCs w:val="18"/>
                <w:lang w:bidi="ar"/>
              </w:rPr>
              <w:t>，</w:t>
            </w:r>
            <w:r>
              <w:rPr>
                <w:rFonts w:hAnsi="宋体" w:cs="宋体"/>
                <w:color w:val="auto"/>
                <w:sz w:val="18"/>
                <w:szCs w:val="18"/>
                <w:lang w:bidi="ar"/>
              </w:rPr>
              <w:t>造成</w:t>
            </w:r>
            <w:r>
              <w:rPr>
                <w:rFonts w:hint="eastAsia" w:ascii="宋体" w:hAnsi="宋体" w:eastAsia="宋体" w:cs="宋体"/>
                <w:color w:val="auto"/>
                <w:sz w:val="18"/>
                <w:szCs w:val="18"/>
                <w:lang w:bidi="ar"/>
              </w:rPr>
              <w:t>驻场人员工作未达标或未及时发现潜在安全隐患</w:t>
            </w:r>
            <w:r>
              <w:rPr>
                <w:rFonts w:hAnsi="宋体" w:cs="宋体"/>
                <w:color w:val="auto"/>
                <w:sz w:val="18"/>
                <w:szCs w:val="18"/>
                <w:lang w:bidi="ar"/>
              </w:rPr>
              <w:t>的，扣</w:t>
            </w:r>
            <w:r>
              <w:rPr>
                <w:rFonts w:hint="eastAsia" w:hAnsi="宋体" w:cs="宋体" w:eastAsiaTheme="minorEastAsia"/>
                <w:color w:val="auto"/>
                <w:sz w:val="18"/>
                <w:szCs w:val="18"/>
                <w:lang w:bidi="ar"/>
              </w:rPr>
              <w:t>3</w:t>
            </w:r>
            <w:r>
              <w:rPr>
                <w:rFonts w:hAnsi="宋体" w:cs="宋体"/>
                <w:color w:val="auto"/>
                <w:sz w:val="18"/>
                <w:szCs w:val="18"/>
                <w:lang w:bidi="ar"/>
              </w:rPr>
              <w:t>分/次</w:t>
            </w:r>
            <w:r>
              <w:rPr>
                <w:rFonts w:hint="eastAsia" w:ascii="宋体" w:hAnsi="宋体" w:eastAsia="宋体" w:cs="宋体"/>
                <w:color w:val="auto"/>
                <w:sz w:val="18"/>
                <w:szCs w:val="18"/>
                <w:lang w:bidi="ar"/>
              </w:rPr>
              <w:t>。</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108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ascii="宋体" w:hAnsi="宋体" w:eastAsia="宋体" w:cs="宋体"/>
                <w:color w:val="auto"/>
                <w:sz w:val="18"/>
                <w:szCs w:val="18"/>
                <w:lang w:bidi="ar"/>
              </w:rPr>
              <w:t>应急</w:t>
            </w:r>
            <w:r>
              <w:rPr>
                <w:rFonts w:hAnsi="宋体" w:cs="宋体"/>
                <w:color w:val="auto"/>
                <w:sz w:val="18"/>
                <w:szCs w:val="18"/>
                <w:lang w:bidi="ar"/>
              </w:rPr>
              <w:t>备件管理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Ansi="宋体" w:cs="宋体"/>
                <w:color w:val="auto"/>
                <w:sz w:val="18"/>
                <w:szCs w:val="18"/>
                <w:lang w:bidi="ar"/>
              </w:rPr>
              <w:t>备品备件</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rPr>
            </w:pPr>
            <w:r>
              <w:rPr>
                <w:rFonts w:hAnsi="宋体" w:cs="宋体"/>
                <w:color w:val="auto"/>
                <w:sz w:val="18"/>
                <w:szCs w:val="18"/>
                <w:lang w:bidi="ar"/>
              </w:rPr>
              <w:t>服务商应按照合同或需求文件</w:t>
            </w:r>
            <w:r>
              <w:rPr>
                <w:rFonts w:hint="eastAsia" w:ascii="宋体" w:hAnsi="宋体" w:eastAsia="宋体" w:cs="宋体"/>
                <w:color w:val="auto"/>
                <w:sz w:val="18"/>
                <w:szCs w:val="18"/>
                <w:lang w:bidi="ar"/>
              </w:rPr>
              <w:t>的</w:t>
            </w:r>
            <w:r>
              <w:rPr>
                <w:rFonts w:hAnsi="宋体" w:cs="宋体"/>
                <w:color w:val="auto"/>
                <w:sz w:val="18"/>
                <w:szCs w:val="18"/>
                <w:lang w:bidi="ar"/>
              </w:rPr>
              <w:t>要求</w:t>
            </w:r>
            <w:r>
              <w:rPr>
                <w:rFonts w:hint="eastAsia" w:ascii="宋体" w:hAnsi="宋体" w:eastAsia="宋体" w:cs="宋体"/>
                <w:color w:val="auto"/>
                <w:sz w:val="18"/>
                <w:szCs w:val="18"/>
                <w:lang w:bidi="ar"/>
              </w:rPr>
              <w:t>，根据医院的实际情况</w:t>
            </w:r>
            <w:r>
              <w:rPr>
                <w:rFonts w:hAnsi="宋体" w:cs="宋体"/>
                <w:color w:val="auto"/>
                <w:sz w:val="18"/>
                <w:szCs w:val="18"/>
                <w:lang w:bidi="ar"/>
              </w:rPr>
              <w:t>准备充足的</w:t>
            </w:r>
            <w:r>
              <w:rPr>
                <w:rFonts w:hint="eastAsia" w:ascii="宋体" w:hAnsi="宋体" w:eastAsia="宋体" w:cs="宋体"/>
                <w:color w:val="auto"/>
                <w:sz w:val="18"/>
                <w:szCs w:val="18"/>
                <w:lang w:bidi="ar"/>
              </w:rPr>
              <w:t>应急</w:t>
            </w:r>
            <w:r>
              <w:rPr>
                <w:rFonts w:hAnsi="宋体" w:cs="宋体"/>
                <w:color w:val="auto"/>
                <w:sz w:val="18"/>
                <w:szCs w:val="18"/>
                <w:lang w:bidi="ar"/>
              </w:rPr>
              <w:t>备件，如发生</w:t>
            </w:r>
            <w:r>
              <w:rPr>
                <w:rFonts w:hint="eastAsia" w:ascii="宋体" w:hAnsi="宋体" w:eastAsia="宋体" w:cs="宋体"/>
                <w:color w:val="auto"/>
                <w:sz w:val="18"/>
                <w:szCs w:val="18"/>
                <w:lang w:bidi="ar"/>
              </w:rPr>
              <w:t>应急</w:t>
            </w:r>
            <w:r>
              <w:rPr>
                <w:rFonts w:hAnsi="宋体" w:cs="宋体"/>
                <w:color w:val="auto"/>
                <w:sz w:val="18"/>
                <w:szCs w:val="18"/>
                <w:lang w:bidi="ar"/>
              </w:rPr>
              <w:t>备件不足的，扣2分/次。如因</w:t>
            </w:r>
            <w:r>
              <w:rPr>
                <w:rFonts w:hint="eastAsia" w:ascii="宋体" w:hAnsi="宋体" w:eastAsia="宋体" w:cs="宋体"/>
                <w:color w:val="auto"/>
                <w:sz w:val="18"/>
                <w:szCs w:val="18"/>
                <w:lang w:bidi="ar"/>
              </w:rPr>
              <w:t>应急</w:t>
            </w:r>
            <w:r>
              <w:rPr>
                <w:rFonts w:hAnsi="宋体" w:cs="宋体"/>
                <w:color w:val="auto"/>
                <w:sz w:val="18"/>
                <w:szCs w:val="18"/>
                <w:lang w:bidi="ar"/>
              </w:rPr>
              <w:t>备件不足，造成严重影响的，扣4分/次。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r>
      <w:tr>
        <w:tblPrEx>
          <w:tblCellMar>
            <w:top w:w="0" w:type="dxa"/>
            <w:left w:w="108" w:type="dxa"/>
            <w:bottom w:w="0" w:type="dxa"/>
            <w:right w:w="108" w:type="dxa"/>
          </w:tblCellMar>
        </w:tblPrEx>
        <w:trPr>
          <w:trHeight w:val="81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文档管理</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textAlignment w:val="center"/>
              <w:rPr>
                <w:rFonts w:hAnsi="宋体" w:cs="宋体"/>
                <w:color w:val="auto"/>
                <w:sz w:val="18"/>
                <w:szCs w:val="18"/>
              </w:rPr>
            </w:pPr>
            <w:r>
              <w:rPr>
                <w:rFonts w:hint="eastAsia" w:hAnsi="宋体" w:cs="宋体"/>
                <w:color w:val="auto"/>
                <w:sz w:val="18"/>
                <w:szCs w:val="18"/>
                <w:lang w:bidi="ar"/>
              </w:rPr>
              <w:t>文档规范</w:t>
            </w:r>
          </w:p>
        </w:tc>
        <w:tc>
          <w:tcPr>
            <w:tcW w:w="36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rPr>
            </w:pPr>
            <w:r>
              <w:rPr>
                <w:rFonts w:hint="eastAsia" w:hAnsi="宋体" w:cs="宋体"/>
                <w:color w:val="auto"/>
                <w:sz w:val="18"/>
                <w:szCs w:val="18"/>
                <w:lang w:bidi="ar"/>
              </w:rPr>
              <w:t>按照合同或需求文件的要求，</w:t>
            </w:r>
            <w:r>
              <w:rPr>
                <w:rFonts w:hint="eastAsia" w:ascii="宋体" w:hAnsi="宋体" w:eastAsia="宋体" w:cs="宋体"/>
                <w:color w:val="auto"/>
                <w:sz w:val="18"/>
                <w:szCs w:val="18"/>
                <w:lang w:bidi="ar"/>
              </w:rPr>
              <w:t>按时提交安全</w:t>
            </w:r>
            <w:r>
              <w:rPr>
                <w:rFonts w:hint="eastAsia" w:hAnsi="宋体" w:cs="宋体"/>
                <w:color w:val="auto"/>
                <w:sz w:val="18"/>
                <w:szCs w:val="18"/>
                <w:lang w:bidi="ar"/>
              </w:rPr>
              <w:t>运维文档，如日报、周报、月报、巡检记录、整改报告等资料，如有缺失，每次扣0.5分。</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textAlignment w:val="center"/>
              <w:rPr>
                <w:rFonts w:hAnsi="宋体" w:cs="宋体"/>
                <w:color w:val="auto"/>
                <w:sz w:val="18"/>
                <w:szCs w:val="18"/>
                <w:lang w:bidi="ar"/>
              </w:rPr>
            </w:pPr>
          </w:p>
        </w:tc>
      </w:tr>
    </w:tbl>
    <w:p>
      <w:pPr>
        <w:kinsoku/>
        <w:spacing w:line="240" w:lineRule="auto"/>
        <w:rPr>
          <w:rFonts w:hint="eastAsia" w:cs="宋体" w:asciiTheme="minorEastAsia" w:hAnsiTheme="minorEastAsia" w:eastAsiaTheme="minorEastAsia"/>
        </w:rPr>
      </w:pPr>
    </w:p>
    <w:p>
      <w:pPr>
        <w:kinsoku/>
        <w:spacing w:line="240" w:lineRule="auto"/>
        <w:rPr>
          <w:rFonts w:hint="eastAsia" w:cs="宋体" w:asciiTheme="minorEastAsia" w:hAnsiTheme="minorEastAsia" w:eastAsiaTheme="minorEastAsia"/>
        </w:rPr>
      </w:pPr>
      <w:r>
        <w:rPr>
          <w:rFonts w:hint="eastAsia" w:cs="宋体" w:asciiTheme="minorEastAsia" w:hAnsiTheme="minorEastAsia" w:eastAsiaTheme="minorEastAsia"/>
        </w:rPr>
        <w:t>说明：</w:t>
      </w:r>
    </w:p>
    <w:p>
      <w:pPr>
        <w:kinsoku/>
        <w:spacing w:line="240" w:lineRule="auto"/>
        <w:ind w:left="315" w:hanging="315" w:hangingChars="150"/>
        <w:rPr>
          <w:rFonts w:hint="eastAsia" w:cs="宋体" w:asciiTheme="minorEastAsia" w:hAnsiTheme="minorEastAsia" w:eastAsiaTheme="minorEastAsia"/>
        </w:rPr>
      </w:pPr>
      <w:r>
        <w:rPr>
          <w:rFonts w:cs="宋体" w:asciiTheme="minorEastAsia" w:hAnsiTheme="minorEastAsia" w:eastAsiaTheme="minorEastAsia"/>
        </w:rPr>
        <w:t>1</w:t>
      </w:r>
      <w:r>
        <w:rPr>
          <w:rFonts w:hint="eastAsia" w:cs="宋体" w:asciiTheme="minorEastAsia" w:hAnsiTheme="minorEastAsia" w:eastAsiaTheme="minorEastAsia"/>
        </w:rPr>
        <w:t>、此表每季度考核一次，跟随发票作为每期的结算依据，根据评分情况按以下比例扣除相应的服务费作为处罚；</w:t>
      </w:r>
    </w:p>
    <w:p>
      <w:pPr>
        <w:kinsoku/>
        <w:spacing w:line="240" w:lineRule="auto"/>
        <w:rPr>
          <w:rFonts w:hint="eastAsia" w:cs="宋体" w:asciiTheme="minorEastAsia" w:hAnsiTheme="minorEastAsia" w:eastAsiaTheme="minorEastAsia"/>
        </w:rPr>
      </w:pPr>
      <w:r>
        <w:rPr>
          <w:rFonts w:cs="宋体" w:asciiTheme="minorEastAsia" w:hAnsiTheme="minorEastAsia" w:eastAsiaTheme="minorEastAsia"/>
        </w:rPr>
        <w:t>2</w:t>
      </w:r>
      <w:r>
        <w:rPr>
          <w:rFonts w:hint="eastAsia" w:cs="宋体" w:asciiTheme="minorEastAsia" w:hAnsiTheme="minorEastAsia" w:eastAsiaTheme="minorEastAsia"/>
        </w:rPr>
        <w:t>、考核分为</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C</w:t>
      </w:r>
      <w:r>
        <w:rPr>
          <w:rFonts w:hint="eastAsia" w:cs="宋体" w:asciiTheme="minorEastAsia" w:hAnsiTheme="minorEastAsia" w:eastAsiaTheme="minorEastAsia"/>
        </w:rPr>
        <w:t>、D四级，</w:t>
      </w:r>
      <w:r>
        <w:rPr>
          <w:rFonts w:cs="宋体" w:asciiTheme="minorEastAsia" w:hAnsiTheme="minorEastAsia" w:eastAsiaTheme="minorEastAsia"/>
        </w:rPr>
        <w:t>A</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≤B</w:t>
      </w:r>
      <w:r>
        <w:rPr>
          <w:rFonts w:hint="eastAsia" w:cs="宋体" w:asciiTheme="minorEastAsia" w:hAnsiTheme="minorEastAsia" w:eastAsiaTheme="minorEastAsia"/>
        </w:rPr>
        <w:t>＜</w:t>
      </w:r>
      <w:r>
        <w:rPr>
          <w:rFonts w:cs="宋体" w:asciiTheme="minorEastAsia" w:hAnsiTheme="minorEastAsia" w:eastAsiaTheme="minorEastAsia"/>
        </w:rPr>
        <w:t>95</w:t>
      </w:r>
      <w:r>
        <w:rPr>
          <w:rFonts w:hint="eastAsia" w:cs="宋体" w:asciiTheme="minorEastAsia" w:hAnsiTheme="minorEastAsia" w:eastAsiaTheme="minorEastAsia"/>
        </w:rPr>
        <w:t>分，</w:t>
      </w:r>
      <w:r>
        <w:rPr>
          <w:rFonts w:cs="宋体" w:asciiTheme="minorEastAsia" w:hAnsiTheme="minorEastAsia" w:eastAsiaTheme="minorEastAsia"/>
        </w:rPr>
        <w:t>85</w:t>
      </w:r>
      <w:r>
        <w:rPr>
          <w:rFonts w:hint="eastAsia" w:cs="宋体" w:asciiTheme="minorEastAsia" w:hAnsiTheme="minorEastAsia" w:eastAsiaTheme="minorEastAsia"/>
        </w:rPr>
        <w:t>分</w:t>
      </w:r>
      <w:r>
        <w:rPr>
          <w:rFonts w:cs="宋体" w:asciiTheme="minorEastAsia" w:hAnsiTheme="minorEastAsia" w:eastAsiaTheme="minorEastAsia"/>
        </w:rPr>
        <w:t>≤</w:t>
      </w:r>
      <w:r>
        <w:rPr>
          <w:rFonts w:hint="eastAsia" w:cs="宋体" w:asciiTheme="minorEastAsia" w:hAnsiTheme="minorEastAsia" w:eastAsiaTheme="minorEastAsia"/>
          <w:color w:val="FF0000"/>
        </w:rPr>
        <w:t>C</w:t>
      </w:r>
      <w:r>
        <w:rPr>
          <w:rFonts w:hint="eastAsia" w:cs="宋体" w:asciiTheme="minorEastAsia" w:hAnsiTheme="minorEastAsia" w:eastAsiaTheme="minorEastAsia"/>
        </w:rPr>
        <w:t>＜</w:t>
      </w:r>
      <w:r>
        <w:rPr>
          <w:rFonts w:cs="宋体" w:asciiTheme="minorEastAsia" w:hAnsiTheme="minorEastAsia" w:eastAsiaTheme="minorEastAsia"/>
        </w:rPr>
        <w:t>90</w:t>
      </w:r>
      <w:r>
        <w:rPr>
          <w:rFonts w:hint="eastAsia" w:cs="宋体" w:asciiTheme="minorEastAsia" w:hAnsiTheme="minorEastAsia" w:eastAsiaTheme="minorEastAsia"/>
        </w:rPr>
        <w:t>分，</w:t>
      </w:r>
      <w:r>
        <w:rPr>
          <w:rFonts w:cs="宋体" w:asciiTheme="minorEastAsia" w:hAnsiTheme="minorEastAsia" w:eastAsiaTheme="minorEastAsia"/>
        </w:rPr>
        <w:t>D</w:t>
      </w:r>
      <w:r>
        <w:rPr>
          <w:rFonts w:hint="eastAsia" w:cs="宋体" w:asciiTheme="minorEastAsia" w:hAnsiTheme="minorEastAsia" w:eastAsiaTheme="minorEastAsia"/>
        </w:rPr>
        <w:t>＜8</w:t>
      </w:r>
      <w:r>
        <w:rPr>
          <w:rFonts w:cs="宋体" w:asciiTheme="minorEastAsia" w:hAnsiTheme="minorEastAsia" w:eastAsiaTheme="minorEastAsia"/>
        </w:rPr>
        <w:t>5</w:t>
      </w:r>
      <w:r>
        <w:rPr>
          <w:rFonts w:hint="eastAsia" w:cs="宋体" w:asciiTheme="minorEastAsia" w:hAnsiTheme="minorEastAsia" w:eastAsiaTheme="minorEastAsia"/>
        </w:rPr>
        <w:t>分；</w:t>
      </w:r>
    </w:p>
    <w:p>
      <w:pPr>
        <w:kinsoku/>
        <w:spacing w:line="240" w:lineRule="auto"/>
        <w:rPr>
          <w:rFonts w:hint="eastAsia" w:cs="宋体" w:asciiTheme="minorEastAsia" w:hAnsiTheme="minorEastAsia" w:eastAsiaTheme="minorEastAsia"/>
        </w:rPr>
      </w:pPr>
      <w:r>
        <w:rPr>
          <w:rFonts w:cs="宋体" w:asciiTheme="minorEastAsia" w:hAnsiTheme="minorEastAsia" w:eastAsiaTheme="minorEastAsia"/>
        </w:rPr>
        <w:t>3</w:t>
      </w:r>
      <w:r>
        <w:rPr>
          <w:rFonts w:hint="eastAsia" w:cs="宋体" w:asciiTheme="minorEastAsia" w:hAnsiTheme="minorEastAsia" w:eastAsiaTheme="minorEastAsia"/>
        </w:rPr>
        <w:t>、以每季度的服务费为基数，扣罚比例如下：</w:t>
      </w:r>
      <w:r>
        <w:rPr>
          <w:rFonts w:cs="宋体" w:asciiTheme="minorEastAsia" w:hAnsiTheme="minorEastAsia" w:eastAsiaTheme="minorEastAsia"/>
        </w:rPr>
        <w:t>A</w:t>
      </w:r>
      <w:r>
        <w:rPr>
          <w:rFonts w:hint="eastAsia" w:cs="宋体" w:asciiTheme="minorEastAsia" w:hAnsiTheme="minorEastAsia" w:eastAsiaTheme="minorEastAsia"/>
        </w:rPr>
        <w:t>级不扣罚；</w:t>
      </w:r>
      <w:r>
        <w:rPr>
          <w:rFonts w:cs="宋体" w:asciiTheme="minorEastAsia" w:hAnsiTheme="minorEastAsia" w:eastAsiaTheme="minorEastAsia"/>
        </w:rPr>
        <w:t>B</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5%</w:t>
      </w:r>
      <w:r>
        <w:rPr>
          <w:rFonts w:hint="eastAsia" w:cs="宋体" w:asciiTheme="minorEastAsia" w:hAnsiTheme="minorEastAsia" w:eastAsiaTheme="minorEastAsia"/>
        </w:rPr>
        <w:t>服务费，</w:t>
      </w:r>
      <w:r>
        <w:rPr>
          <w:rFonts w:cs="宋体" w:asciiTheme="minorEastAsia" w:hAnsiTheme="minorEastAsia" w:eastAsiaTheme="minorEastAsia"/>
        </w:rPr>
        <w:t>C</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10</w:t>
      </w:r>
      <w:r>
        <w:rPr>
          <w:rFonts w:hint="eastAsia" w:cs="宋体" w:asciiTheme="minorEastAsia" w:hAnsiTheme="minorEastAsia" w:eastAsiaTheme="minorEastAsia"/>
        </w:rPr>
        <w:t>％服务费，</w:t>
      </w:r>
      <w:r>
        <w:rPr>
          <w:rFonts w:cs="宋体" w:asciiTheme="minorEastAsia" w:hAnsiTheme="minorEastAsia" w:eastAsiaTheme="minorEastAsia"/>
        </w:rPr>
        <w:t>D</w:t>
      </w:r>
      <w:r>
        <w:rPr>
          <w:rFonts w:hint="eastAsia" w:cs="宋体" w:asciiTheme="minorEastAsia" w:hAnsiTheme="minorEastAsia" w:eastAsiaTheme="minorEastAsia"/>
        </w:rPr>
        <w:t>级扣罚当</w:t>
      </w:r>
      <w:r>
        <w:rPr>
          <w:rFonts w:hint="eastAsia" w:cs="宋体" w:asciiTheme="minorEastAsia" w:hAnsiTheme="minorEastAsia" w:eastAsiaTheme="minorEastAsia"/>
          <w:lang w:eastAsia="zh-CN"/>
        </w:rPr>
        <w:t>期</w:t>
      </w:r>
      <w:r>
        <w:rPr>
          <w:rFonts w:cs="宋体" w:asciiTheme="minorEastAsia" w:hAnsiTheme="minorEastAsia" w:eastAsiaTheme="minorEastAsia"/>
        </w:rPr>
        <w:t>20</w:t>
      </w:r>
      <w:r>
        <w:rPr>
          <w:rFonts w:hint="eastAsia" w:cs="宋体" w:asciiTheme="minorEastAsia" w:hAnsiTheme="minorEastAsia" w:eastAsiaTheme="minorEastAsia"/>
        </w:rPr>
        <w:t>％服务费，连续两个</w:t>
      </w:r>
      <w:r>
        <w:rPr>
          <w:rFonts w:hint="eastAsia" w:cs="宋体" w:asciiTheme="minorEastAsia" w:hAnsiTheme="minorEastAsia" w:eastAsiaTheme="minorEastAsia"/>
          <w:lang w:eastAsia="zh-CN"/>
        </w:rPr>
        <w:t>季度</w:t>
      </w:r>
      <w:r>
        <w:rPr>
          <w:rFonts w:hint="eastAsia" w:cs="宋体" w:asciiTheme="minorEastAsia" w:hAnsiTheme="minorEastAsia" w:eastAsiaTheme="minorEastAsia"/>
        </w:rPr>
        <w:t>考核为</w:t>
      </w:r>
      <w:r>
        <w:rPr>
          <w:rFonts w:cs="宋体" w:asciiTheme="minorEastAsia" w:hAnsiTheme="minorEastAsia" w:eastAsiaTheme="minorEastAsia"/>
        </w:rPr>
        <w:t>D</w:t>
      </w:r>
      <w:r>
        <w:rPr>
          <w:rFonts w:hint="eastAsia" w:cs="宋体" w:asciiTheme="minorEastAsia" w:hAnsiTheme="minorEastAsia" w:eastAsiaTheme="minorEastAsia"/>
        </w:rPr>
        <w:t>级的，采购人有权单方面无条件终止本服务合同。</w:t>
      </w:r>
    </w:p>
    <w:p>
      <w:pPr>
        <w:kinsoku/>
        <w:spacing w:line="240" w:lineRule="auto"/>
        <w:rPr>
          <w:rFonts w:hint="eastAsia" w:asciiTheme="minorEastAsia" w:hAnsiTheme="minorEastAsia" w:eastAsiaTheme="minorEastAsia"/>
        </w:rPr>
      </w:pPr>
    </w:p>
    <w:p>
      <w:pPr>
        <w:kinsoku/>
        <w:spacing w:line="240" w:lineRule="auto"/>
        <w:rPr>
          <w:rFonts w:hint="eastAsia" w:asciiTheme="minorEastAsia" w:hAnsiTheme="minorEastAsia" w:eastAsiaTheme="minorEastAsia"/>
        </w:rPr>
      </w:pPr>
      <w:r>
        <w:rPr>
          <w:rFonts w:hint="eastAsia" w:asciiTheme="minorEastAsia" w:hAnsiTheme="minorEastAsia" w:eastAsiaTheme="minorEastAsia"/>
        </w:rPr>
        <w:t>采购人考核人员                         服务商代表</w:t>
      </w:r>
    </w:p>
    <w:p>
      <w:pPr>
        <w:kinsoku/>
        <w:spacing w:line="240" w:lineRule="auto"/>
        <w:rPr>
          <w:rFonts w:hint="eastAsia" w:asciiTheme="minorEastAsia" w:hAnsiTheme="minorEastAsia" w:eastAsiaTheme="minorEastAsia"/>
        </w:rPr>
      </w:pPr>
    </w:p>
    <w:p>
      <w:pPr>
        <w:kinsoku/>
        <w:spacing w:line="240" w:lineRule="auto"/>
        <w:rPr>
          <w:rFonts w:hint="eastAsia" w:asciiTheme="minorEastAsia" w:hAnsiTheme="minorEastAsia" w:eastAsiaTheme="minorEastAsia"/>
        </w:rPr>
      </w:pPr>
      <w:r>
        <w:rPr>
          <w:rFonts w:hint="eastAsia" w:asciiTheme="minorEastAsia" w:hAnsiTheme="minorEastAsia" w:eastAsiaTheme="minorEastAsia"/>
        </w:rPr>
        <w:t>签名及盖章：                           签名及盖章：</w:t>
      </w:r>
    </w:p>
    <w:p>
      <w:pPr>
        <w:kinsoku/>
        <w:spacing w:line="240" w:lineRule="auto"/>
        <w:ind w:right="600"/>
        <w:jc w:val="center"/>
        <w:rPr>
          <w:rFonts w:hint="eastAsia" w:asciiTheme="minorEastAsia" w:hAnsiTheme="minorEastAsia" w:eastAsiaTheme="minorEastAsia"/>
          <w:u w:val="single"/>
        </w:rPr>
      </w:pPr>
    </w:p>
    <w:p>
      <w:pPr>
        <w:kinsoku/>
        <w:spacing w:line="240" w:lineRule="auto"/>
        <w:ind w:right="600" w:firstLine="4515" w:firstLineChars="2150"/>
        <w:rPr>
          <w:rFonts w:hint="eastAsia" w:asciiTheme="minorEastAsia" w:hAnsiTheme="minorEastAsia" w:eastAsiaTheme="minorEastAsia"/>
          <w:u w:val="single"/>
        </w:rPr>
      </w:pPr>
    </w:p>
    <w:p>
      <w:pPr>
        <w:kinsoku/>
        <w:spacing w:line="240" w:lineRule="auto"/>
        <w:ind w:firstLine="4725" w:firstLineChars="2250"/>
        <w:rPr>
          <w:rFonts w:hint="eastAsia" w:asciiTheme="minorEastAsia" w:hAnsiTheme="minorEastAsia" w:eastAsiaTheme="minorEastAsia"/>
        </w:rPr>
      </w:pPr>
      <w:r>
        <w:rPr>
          <w:rFonts w:hint="eastAsia" w:asciiTheme="minorEastAsia" w:hAnsiTheme="minorEastAsia" w:eastAsiaTheme="minorEastAsia"/>
        </w:rPr>
        <w:t xml:space="preserve">   年    月    日</w:t>
      </w:r>
    </w:p>
    <w:p>
      <w:pPr>
        <w:kinsoku/>
        <w:spacing w:line="240" w:lineRule="auto"/>
        <w:ind w:right="840"/>
        <w:rPr>
          <w:rFonts w:hint="eastAsia" w:ascii="宋体" w:hAnsi="宋体" w:eastAsia="宋体" w:cs="宋体"/>
          <w:b/>
          <w:sz w:val="24"/>
          <w:szCs w:val="24"/>
        </w:rPr>
      </w:pPr>
    </w:p>
    <w:p>
      <w:pPr>
        <w:kinsoku/>
        <w:spacing w:line="240" w:lineRule="auto"/>
        <w:ind w:right="840"/>
        <w:rPr>
          <w:rFonts w:hint="eastAsia" w:ascii="宋体" w:hAnsi="宋体" w:eastAsia="宋体" w:cs="宋体"/>
          <w:b/>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val="0"/>
        <w:autoSpaceDN w:val="0"/>
        <w:bidi w:val="0"/>
        <w:adjustRightInd w:val="0"/>
        <w:snapToGrid w:val="0"/>
        <w:spacing w:after="0" w:line="240" w:lineRule="auto"/>
        <w:ind w:left="0" w:leftChars="0" w:right="0" w:rightChars="0" w:firstLine="0" w:firstLineChars="0"/>
        <w:jc w:val="left"/>
        <w:textAlignment w:val="baseline"/>
        <w:outlineLvl w:val="9"/>
        <w:rPr>
          <w:rFonts w:hint="eastAsia"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五、结算方式</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1、每季度结算一次。</w:t>
      </w:r>
    </w:p>
    <w:p>
      <w:pPr>
        <w:keepNext w:val="0"/>
        <w:keepLines w:val="0"/>
        <w:pageBreakBefore w:val="0"/>
        <w:widowControl/>
        <w:wordWrap/>
        <w:overflowPunct/>
        <w:topLinePunct w:val="0"/>
        <w:autoSpaceDE w:val="0"/>
        <w:autoSpaceDN w:val="0"/>
        <w:bidi w:val="0"/>
        <w:adjustRightInd w:val="0"/>
        <w:snapToGrid w:val="0"/>
        <w:spacing w:after="0" w:line="240" w:lineRule="auto"/>
        <w:ind w:left="0" w:leftChars="0" w:right="0" w:rightChars="0"/>
        <w:jc w:val="left"/>
        <w:textAlignment w:val="baseline"/>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2、凭每期合同相应金额的正规发票、月度维保服务质量考核表、月度维护保养工作单，采购人于60个自然日内支付该期服务费用。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9022"/>
    </w:sdtPr>
    <w:sdtContent>
      <w:sdt>
        <w:sdtPr>
          <w:id w:val="28699021"/>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6D"/>
    <w:rsid w:val="00040981"/>
    <w:rsid w:val="00065ED5"/>
    <w:rsid w:val="00077F21"/>
    <w:rsid w:val="0008042D"/>
    <w:rsid w:val="000D35B2"/>
    <w:rsid w:val="000D5FAE"/>
    <w:rsid w:val="000E50FD"/>
    <w:rsid w:val="000F16C4"/>
    <w:rsid w:val="000F58A4"/>
    <w:rsid w:val="00114C06"/>
    <w:rsid w:val="00134706"/>
    <w:rsid w:val="0016395B"/>
    <w:rsid w:val="00190AD3"/>
    <w:rsid w:val="001A0AF2"/>
    <w:rsid w:val="001D3C8E"/>
    <w:rsid w:val="001E236D"/>
    <w:rsid w:val="001E6AAA"/>
    <w:rsid w:val="00251E50"/>
    <w:rsid w:val="00275F65"/>
    <w:rsid w:val="002A3CE6"/>
    <w:rsid w:val="002C7285"/>
    <w:rsid w:val="00311492"/>
    <w:rsid w:val="00316195"/>
    <w:rsid w:val="00342630"/>
    <w:rsid w:val="0035438B"/>
    <w:rsid w:val="003778FB"/>
    <w:rsid w:val="003857F9"/>
    <w:rsid w:val="003A2F41"/>
    <w:rsid w:val="003C5643"/>
    <w:rsid w:val="003C5BCC"/>
    <w:rsid w:val="00406A54"/>
    <w:rsid w:val="004259A2"/>
    <w:rsid w:val="00453010"/>
    <w:rsid w:val="00495B88"/>
    <w:rsid w:val="004B14DF"/>
    <w:rsid w:val="004D0C71"/>
    <w:rsid w:val="00511985"/>
    <w:rsid w:val="00537E07"/>
    <w:rsid w:val="005504E2"/>
    <w:rsid w:val="00571992"/>
    <w:rsid w:val="00590862"/>
    <w:rsid w:val="005E0126"/>
    <w:rsid w:val="005E30FD"/>
    <w:rsid w:val="006434C3"/>
    <w:rsid w:val="0068676C"/>
    <w:rsid w:val="006A59F2"/>
    <w:rsid w:val="006A7890"/>
    <w:rsid w:val="006C40FA"/>
    <w:rsid w:val="006E4E04"/>
    <w:rsid w:val="006E4E72"/>
    <w:rsid w:val="006E7C5A"/>
    <w:rsid w:val="006F01E1"/>
    <w:rsid w:val="00702593"/>
    <w:rsid w:val="007104DC"/>
    <w:rsid w:val="00744B06"/>
    <w:rsid w:val="00746479"/>
    <w:rsid w:val="00795645"/>
    <w:rsid w:val="00795803"/>
    <w:rsid w:val="007B0229"/>
    <w:rsid w:val="007B1F07"/>
    <w:rsid w:val="007C3337"/>
    <w:rsid w:val="007C6D9C"/>
    <w:rsid w:val="007F533F"/>
    <w:rsid w:val="007F53BE"/>
    <w:rsid w:val="00812A3F"/>
    <w:rsid w:val="00856731"/>
    <w:rsid w:val="00883C9A"/>
    <w:rsid w:val="008E7C6B"/>
    <w:rsid w:val="009373F3"/>
    <w:rsid w:val="00945716"/>
    <w:rsid w:val="009565DD"/>
    <w:rsid w:val="009640F8"/>
    <w:rsid w:val="0096554A"/>
    <w:rsid w:val="00970EBD"/>
    <w:rsid w:val="00992828"/>
    <w:rsid w:val="009B3E39"/>
    <w:rsid w:val="009F0A82"/>
    <w:rsid w:val="00A01210"/>
    <w:rsid w:val="00A01B8A"/>
    <w:rsid w:val="00A52816"/>
    <w:rsid w:val="00A86937"/>
    <w:rsid w:val="00A87579"/>
    <w:rsid w:val="00A9034A"/>
    <w:rsid w:val="00AB1C39"/>
    <w:rsid w:val="00AB6AF3"/>
    <w:rsid w:val="00B07D20"/>
    <w:rsid w:val="00BA1AD6"/>
    <w:rsid w:val="00BB6122"/>
    <w:rsid w:val="00BB7E2B"/>
    <w:rsid w:val="00BD5070"/>
    <w:rsid w:val="00BE577C"/>
    <w:rsid w:val="00BE5DED"/>
    <w:rsid w:val="00C108F8"/>
    <w:rsid w:val="00C20F4E"/>
    <w:rsid w:val="00C66725"/>
    <w:rsid w:val="00D00186"/>
    <w:rsid w:val="00D07196"/>
    <w:rsid w:val="00D16D1D"/>
    <w:rsid w:val="00D60FB1"/>
    <w:rsid w:val="00D76A13"/>
    <w:rsid w:val="00DA4CFF"/>
    <w:rsid w:val="00DC3773"/>
    <w:rsid w:val="00DC4C90"/>
    <w:rsid w:val="00DF6400"/>
    <w:rsid w:val="00E034B5"/>
    <w:rsid w:val="00E14C03"/>
    <w:rsid w:val="00E317E4"/>
    <w:rsid w:val="00F1651E"/>
    <w:rsid w:val="00F6097C"/>
    <w:rsid w:val="00F67BB4"/>
    <w:rsid w:val="00F927D1"/>
    <w:rsid w:val="00F93DEE"/>
    <w:rsid w:val="00FA513E"/>
    <w:rsid w:val="00FF4764"/>
    <w:rsid w:val="013F2B69"/>
    <w:rsid w:val="04EF5D5A"/>
    <w:rsid w:val="052163D9"/>
    <w:rsid w:val="0A360A00"/>
    <w:rsid w:val="11902053"/>
    <w:rsid w:val="14FC682F"/>
    <w:rsid w:val="181819AF"/>
    <w:rsid w:val="1DA57483"/>
    <w:rsid w:val="1E3C4612"/>
    <w:rsid w:val="23587A05"/>
    <w:rsid w:val="260A2D1B"/>
    <w:rsid w:val="2CC347B0"/>
    <w:rsid w:val="2E21583E"/>
    <w:rsid w:val="32EE0D8D"/>
    <w:rsid w:val="335D5628"/>
    <w:rsid w:val="36DF6EB5"/>
    <w:rsid w:val="38744856"/>
    <w:rsid w:val="3F3C0676"/>
    <w:rsid w:val="408E4EEA"/>
    <w:rsid w:val="41175759"/>
    <w:rsid w:val="42BD0359"/>
    <w:rsid w:val="44296E18"/>
    <w:rsid w:val="452C0029"/>
    <w:rsid w:val="46A54C4E"/>
    <w:rsid w:val="495718D0"/>
    <w:rsid w:val="49B4579F"/>
    <w:rsid w:val="4E704830"/>
    <w:rsid w:val="529F0946"/>
    <w:rsid w:val="52D02228"/>
    <w:rsid w:val="55E36F88"/>
    <w:rsid w:val="5E584046"/>
    <w:rsid w:val="606F5105"/>
    <w:rsid w:val="631B52B7"/>
    <w:rsid w:val="675B2172"/>
    <w:rsid w:val="6AF96F15"/>
    <w:rsid w:val="70E8009D"/>
    <w:rsid w:val="73023E7C"/>
    <w:rsid w:val="7561374B"/>
    <w:rsid w:val="75B35940"/>
    <w:rsid w:val="7C155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zh-CN" w:bidi="ar-SA"/>
    </w:rPr>
  </w:style>
  <w:style w:type="character" w:default="1" w:styleId="10">
    <w:name w:val="Default Paragraph Font"/>
    <w:unhideWhenUsed/>
    <w:uiPriority w:val="1"/>
  </w:style>
  <w:style w:type="table" w:default="1" w:styleId="9">
    <w:name w:val="Normal Table"/>
    <w:unhideWhenUsed/>
    <w:uiPriority w:val="99"/>
    <w:tblPr>
      <w:tblCellMar>
        <w:top w:w="0" w:type="dxa"/>
        <w:left w:w="108" w:type="dxa"/>
        <w:bottom w:w="0" w:type="dxa"/>
        <w:right w:w="108" w:type="dxa"/>
      </w:tblCellMar>
    </w:tblPr>
  </w:style>
  <w:style w:type="paragraph" w:styleId="2">
    <w:name w:val="annotation text"/>
    <w:basedOn w:val="1"/>
    <w:link w:val="15"/>
    <w:qFormat/>
    <w:uiPriority w:val="99"/>
    <w:rPr>
      <w:sz w:val="20"/>
      <w:szCs w:val="20"/>
    </w:rPr>
  </w:style>
  <w:style w:type="paragraph" w:styleId="3">
    <w:name w:val="Body Text"/>
    <w:basedOn w:val="1"/>
    <w:link w:val="16"/>
    <w:unhideWhenUsed/>
    <w:qFormat/>
    <w:uiPriority w:val="0"/>
    <w:pPr>
      <w:spacing w:after="120"/>
    </w:pPr>
  </w:style>
  <w:style w:type="paragraph" w:styleId="4">
    <w:name w:val="Balloon Text"/>
    <w:basedOn w:val="1"/>
    <w:link w:val="17"/>
    <w:qFormat/>
    <w:uiPriority w:val="0"/>
    <w:rPr>
      <w:sz w:val="18"/>
      <w:szCs w:val="18"/>
    </w:rPr>
  </w:style>
  <w:style w:type="paragraph" w:styleId="5">
    <w:name w:val="footer"/>
    <w:basedOn w:val="1"/>
    <w:link w:val="14"/>
    <w:unhideWhenUsed/>
    <w:qFormat/>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6">
    <w:name w:val="header"/>
    <w:basedOn w:val="1"/>
    <w:link w:val="13"/>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7">
    <w:name w:val="Normal (Web)"/>
    <w:basedOn w:val="1"/>
    <w:qFormat/>
    <w:uiPriority w:val="99"/>
    <w:pPr>
      <w:spacing w:beforeAutospacing="1" w:afterAutospacing="1"/>
    </w:pPr>
    <w:rPr>
      <w:rFonts w:cs="Times New Roman"/>
      <w:sz w:val="24"/>
    </w:rPr>
  </w:style>
  <w:style w:type="paragraph" w:styleId="8">
    <w:name w:val="annotation subject"/>
    <w:basedOn w:val="2"/>
    <w:next w:val="2"/>
    <w:link w:val="18"/>
    <w:qFormat/>
    <w:uiPriority w:val="0"/>
    <w:rPr>
      <w:b/>
      <w:bCs/>
      <w:sz w:val="21"/>
      <w:szCs w:val="21"/>
    </w:rPr>
  </w:style>
  <w:style w:type="character" w:styleId="11">
    <w:name w:val="Strong"/>
    <w:qFormat/>
    <w:uiPriority w:val="22"/>
    <w:rPr>
      <w:b/>
    </w:rPr>
  </w:style>
  <w:style w:type="character" w:styleId="12">
    <w:name w:val="annotation reference"/>
    <w:basedOn w:val="10"/>
    <w:qFormat/>
    <w:uiPriority w:val="0"/>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文字 字符"/>
    <w:basedOn w:val="10"/>
    <w:link w:val="2"/>
    <w:qFormat/>
    <w:uiPriority w:val="99"/>
    <w:rPr>
      <w:rFonts w:ascii="Arial" w:hAnsi="Arial" w:eastAsia="Arial" w:cs="Arial"/>
      <w:snapToGrid w:val="0"/>
      <w:color w:val="000000"/>
      <w:kern w:val="0"/>
      <w:sz w:val="20"/>
      <w:szCs w:val="20"/>
    </w:rPr>
  </w:style>
  <w:style w:type="character" w:customStyle="1" w:styleId="16">
    <w:name w:val="正文文本 字符"/>
    <w:basedOn w:val="10"/>
    <w:link w:val="3"/>
    <w:qFormat/>
    <w:uiPriority w:val="0"/>
    <w:rPr>
      <w:rFonts w:ascii="Arial" w:hAnsi="Arial" w:eastAsia="Arial" w:cs="Arial"/>
      <w:snapToGrid w:val="0"/>
      <w:color w:val="000000"/>
      <w:kern w:val="0"/>
      <w:szCs w:val="21"/>
    </w:rPr>
  </w:style>
  <w:style w:type="character" w:customStyle="1" w:styleId="17">
    <w:name w:val="批注框文本 字符"/>
    <w:basedOn w:val="10"/>
    <w:link w:val="4"/>
    <w:qFormat/>
    <w:uiPriority w:val="0"/>
    <w:rPr>
      <w:rFonts w:ascii="Arial" w:hAnsi="Arial" w:eastAsia="Arial" w:cs="Arial"/>
      <w:snapToGrid w:val="0"/>
      <w:color w:val="000000"/>
      <w:kern w:val="0"/>
      <w:sz w:val="18"/>
      <w:szCs w:val="18"/>
    </w:rPr>
  </w:style>
  <w:style w:type="character" w:customStyle="1" w:styleId="18">
    <w:name w:val="批注主题 字符"/>
    <w:basedOn w:val="15"/>
    <w:link w:val="8"/>
    <w:qFormat/>
    <w:uiPriority w:val="0"/>
    <w:rPr>
      <w:rFonts w:ascii="Arial" w:hAnsi="Arial" w:eastAsia="Arial" w:cs="Arial"/>
      <w:b/>
      <w:bCs/>
      <w:snapToGrid w:val="0"/>
      <w:color w:val="000000"/>
      <w:kern w:val="0"/>
      <w:sz w:val="20"/>
      <w:szCs w:val="21"/>
    </w:rPr>
  </w:style>
  <w:style w:type="table" w:customStyle="1" w:styleId="19">
    <w:name w:val="Table Normal"/>
    <w:unhideWhenUsed/>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20">
    <w:name w:val="font31"/>
    <w:basedOn w:val="10"/>
    <w:qFormat/>
    <w:uiPriority w:val="0"/>
    <w:rPr>
      <w:rFonts w:hint="eastAsia" w:ascii="宋体" w:hAnsi="宋体" w:eastAsia="宋体" w:cs="宋体"/>
      <w:color w:val="000000"/>
      <w:sz w:val="19"/>
      <w:szCs w:val="19"/>
      <w:u w:val="none"/>
    </w:rPr>
  </w:style>
  <w:style w:type="character" w:customStyle="1" w:styleId="21">
    <w:name w:val="font11"/>
    <w:basedOn w:val="10"/>
    <w:qFormat/>
    <w:uiPriority w:val="0"/>
    <w:rPr>
      <w:rFonts w:hint="default" w:ascii="Lucida Sans Unicode" w:hAnsi="Lucida Sans Unicode" w:eastAsia="Lucida Sans Unicode" w:cs="Lucida Sans Unicode"/>
      <w:color w:val="000000"/>
      <w:sz w:val="19"/>
      <w:szCs w:val="19"/>
      <w:u w:val="none"/>
    </w:rPr>
  </w:style>
  <w:style w:type="paragraph" w:customStyle="1" w:styleId="22">
    <w:name w:val="列表段落1"/>
    <w:basedOn w:val="1"/>
    <w:qFormat/>
    <w:uiPriority w:val="34"/>
    <w:pPr>
      <w:ind w:firstLine="420" w:firstLineChars="200"/>
    </w:pPr>
  </w:style>
  <w:style w:type="character" w:customStyle="1" w:styleId="23">
    <w:name w:val="font01"/>
    <w:basedOn w:val="10"/>
    <w:qFormat/>
    <w:uiPriority w:val="0"/>
    <w:rPr>
      <w:rFonts w:hint="eastAsia" w:ascii="宋体" w:hAnsi="宋体" w:eastAsia="宋体"/>
      <w:color w:val="000000"/>
      <w:sz w:val="21"/>
      <w:szCs w:val="21"/>
      <w:u w:val="none"/>
      <w:vertAlign w:val="superscript"/>
    </w:rPr>
  </w:style>
  <w:style w:type="paragraph" w:customStyle="1" w:styleId="24">
    <w:name w:val="BodyText"/>
    <w:basedOn w:val="1"/>
    <w:qFormat/>
    <w:uiPriority w:val="0"/>
    <w:pPr>
      <w:ind w:right="-26"/>
      <w:jc w:val="center"/>
    </w:pPr>
    <w:rPr>
      <w:b/>
      <w:bCs/>
      <w:kern w:val="2"/>
      <w:sz w:val="84"/>
      <w:szCs w:val="84"/>
      <w:lang w:val="zh-CN"/>
    </w:rPr>
  </w:style>
  <w:style w:type="character" w:customStyle="1" w:styleId="25">
    <w:name w:val="font51"/>
    <w:basedOn w:val="10"/>
    <w:qFormat/>
    <w:uiPriority w:val="0"/>
    <w:rPr>
      <w:rFonts w:ascii="宋体" w:hAnsi="宋体" w:eastAsia="宋体" w:cs="宋体"/>
      <w:color w:val="000000"/>
      <w:sz w:val="22"/>
      <w:szCs w:val="22"/>
      <w:u w:val="none"/>
    </w:rPr>
  </w:style>
  <w:style w:type="character" w:customStyle="1" w:styleId="26">
    <w:name w:val="font21"/>
    <w:basedOn w:val="10"/>
    <w:qFormat/>
    <w:uiPriority w:val="0"/>
    <w:rPr>
      <w:rFonts w:hint="eastAsia" w:ascii="宋体" w:hAnsi="宋体" w:eastAsia="宋体" w:cs="宋体"/>
      <w:color w:val="000000"/>
      <w:sz w:val="22"/>
      <w:szCs w:val="22"/>
      <w:u w:val="none"/>
    </w:rPr>
  </w:style>
  <w:style w:type="paragraph" w:customStyle="1" w:styleId="27">
    <w:name w:val="彩色列表 - 强调文字颜色 11"/>
    <w:basedOn w:val="1"/>
    <w:qFormat/>
    <w:uiPriority w:val="34"/>
    <w:pPr>
      <w:spacing w:line="360" w:lineRule="auto"/>
      <w:ind w:firstLine="420" w:firstLineChars="200"/>
    </w:pPr>
    <w:rPr>
      <w:rFonts w:ascii="等线" w:hAnsi="等线" w:eastAsia="宋体" w:cs="Times New Roman"/>
      <w:sz w:val="24"/>
    </w:rPr>
  </w:style>
  <w:style w:type="paragraph" w:customStyle="1" w:styleId="28">
    <w:name w:val="正文（绿盟科技）"/>
    <w:qFormat/>
    <w:uiPriority w:val="0"/>
    <w:pPr>
      <w:spacing w:after="160" w:line="300" w:lineRule="auto"/>
    </w:pPr>
    <w:rPr>
      <w:rFonts w:ascii="Calibri" w:hAnsi="Calibri" w:eastAsia="宋体" w:cs="Times New Roman"/>
      <w:kern w:val="2"/>
      <w:sz w:val="21"/>
      <w:szCs w:val="21"/>
      <w:lang w:val="en-US" w:eastAsia="zh-CN" w:bidi="ar-SA"/>
    </w:rPr>
  </w:style>
  <w:style w:type="paragraph" w:customStyle="1" w:styleId="29">
    <w:name w:val="正文首行缩进（绿盟科技）"/>
    <w:basedOn w:val="1"/>
    <w:qFormat/>
    <w:uiPriority w:val="0"/>
    <w:pPr>
      <w:spacing w:after="50" w:line="300" w:lineRule="auto"/>
      <w:ind w:firstLine="200" w:firstLineChars="200"/>
    </w:pPr>
    <w:rPr>
      <w:rFonts w:eastAsia="宋体"/>
    </w:rPr>
  </w:style>
  <w:style w:type="paragraph" w:customStyle="1" w:styleId="30">
    <w:name w:val="湛江"/>
    <w:basedOn w:val="1"/>
    <w:qFormat/>
    <w:uiPriority w:val="0"/>
    <w:pPr>
      <w:spacing w:line="360" w:lineRule="auto"/>
      <w:ind w:firstLine="424" w:firstLineChars="20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12</Pages>
  <Words>1257</Words>
  <Characters>7171</Characters>
  <Lines>59</Lines>
  <Paragraphs>16</Paragraphs>
  <TotalTime>5</TotalTime>
  <ScaleCrop>false</ScaleCrop>
  <LinksUpToDate>false</LinksUpToDate>
  <CharactersWithSpaces>8412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2025-06-10T08:21:00Z</dcterms:created>
  <dc:creator>黄伟航</dc:creator>
  <cp:lastModifiedBy>1</cp:lastModifiedBy>
  <cp:lastPrinted>2025-02-12T07:21:00Z</cp:lastPrinted>
  <dcterms:modified xsi:type="dcterms:W3CDTF">2025-06-17T01:22:57Z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eyJoZGlkIjoiZTllYjI0ZTg0NzY3NTFjMmUwMmQ3YmUxMjI0NGIyZjYiLCJ1c2VySWQiOiIxNjU0ODE2MzIyIn0=</vt:lpwstr>
  </property>
  <property fmtid="{D5CDD505-2E9C-101B-9397-08002B2CF9AE}" pid="4" name="ICV">
    <vt:lpwstr>010BCFD6F1EA4CF787978648A4CFB3D8_12</vt:lpwstr>
  </property>
</Properties>
</file>