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360" w:lineRule="auto"/>
        <w:jc w:val="center"/>
        <w:rPr>
          <w:rFonts w:asciiTheme="minorEastAsia" w:hAnsiTheme="minorEastAsia" w:cstheme="minorEastAsia"/>
          <w:b/>
          <w:bCs/>
          <w:kern w:val="0"/>
          <w:sz w:val="30"/>
          <w:szCs w:val="30"/>
        </w:rPr>
      </w:pPr>
      <w:bookmarkStart w:id="0" w:name="_GoBack"/>
      <w:r>
        <w:rPr>
          <w:rFonts w:hint="eastAsia" w:asciiTheme="minorEastAsia" w:hAnsiTheme="minorEastAsia"/>
          <w:b/>
          <w:bCs/>
          <w:sz w:val="30"/>
          <w:szCs w:val="30"/>
        </w:rPr>
        <w:t>中山市中医院2025年利器盒采购项目</w:t>
      </w:r>
      <w:bookmarkEnd w:id="0"/>
      <w:r>
        <w:rPr>
          <w:rFonts w:hint="eastAsia" w:asciiTheme="minorEastAsia" w:hAnsiTheme="minorEastAsia" w:cstheme="minorEastAsia"/>
          <w:b/>
          <w:bCs/>
          <w:kern w:val="0"/>
          <w:sz w:val="30"/>
          <w:szCs w:val="30"/>
        </w:rPr>
        <w:t>需求书</w:t>
      </w:r>
    </w:p>
    <w:p>
      <w:pPr>
        <w:widowControl/>
        <w:spacing w:line="500" w:lineRule="exact"/>
        <w:jc w:val="left"/>
        <w:rPr>
          <w:rFonts w:asciiTheme="minorEastAsia" w:hAnsiTheme="minorEastAsia" w:cstheme="minorEastAsia"/>
          <w:bCs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bCs/>
          <w:kern w:val="0"/>
          <w:sz w:val="28"/>
          <w:szCs w:val="28"/>
        </w:rPr>
        <w:t>一、项目概况</w:t>
      </w:r>
    </w:p>
    <w:p>
      <w:pPr>
        <w:adjustRightInd w:val="0"/>
        <w:snapToGrid w:val="0"/>
        <w:spacing w:line="360" w:lineRule="auto"/>
        <w:rPr>
          <w:rFonts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1、项目名称：中山市中医院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2025年</w:t>
      </w:r>
      <w:r>
        <w:rPr>
          <w:rFonts w:hint="eastAsia" w:ascii="宋体" w:hAnsi="宋体" w:cs="宋体"/>
          <w:color w:val="000000"/>
          <w:sz w:val="24"/>
          <w:szCs w:val="24"/>
        </w:rPr>
        <w:t>利器盒采购项目</w:t>
      </w:r>
    </w:p>
    <w:p>
      <w:pPr>
        <w:adjustRightInd w:val="0"/>
        <w:snapToGrid w:val="0"/>
        <w:spacing w:line="360" w:lineRule="auto"/>
        <w:rPr>
          <w:rFonts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2、项目内容：医院拟采购一批医院废物利器盒，以满足临床使用需求。</w:t>
      </w:r>
      <w:r>
        <w:rPr>
          <w:rFonts w:ascii="宋体" w:hAnsi="宋体" w:cs="宋体"/>
          <w:color w:val="000000"/>
          <w:sz w:val="24"/>
          <w:szCs w:val="24"/>
        </w:rPr>
        <w:t xml:space="preserve"> </w:t>
      </w:r>
    </w:p>
    <w:p>
      <w:pPr>
        <w:adjustRightInd w:val="0"/>
        <w:snapToGrid w:val="0"/>
        <w:spacing w:line="360" w:lineRule="auto"/>
        <w:rPr>
          <w:rFonts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3、项目上限价：￥</w:t>
      </w:r>
      <w:r>
        <w:rPr>
          <w:rFonts w:ascii="宋体" w:hAnsi="宋体" w:cs="宋体"/>
          <w:color w:val="000000"/>
          <w:sz w:val="24"/>
          <w:szCs w:val="24"/>
        </w:rPr>
        <w:t>3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570</w:t>
      </w:r>
      <w:r>
        <w:rPr>
          <w:rFonts w:ascii="宋体" w:hAnsi="宋体" w:cs="宋体"/>
          <w:color w:val="000000"/>
          <w:sz w:val="24"/>
          <w:szCs w:val="24"/>
        </w:rPr>
        <w:t>00</w:t>
      </w:r>
      <w:r>
        <w:rPr>
          <w:rFonts w:hint="eastAsia" w:ascii="宋体" w:hAnsi="宋体" w:cs="宋体"/>
          <w:color w:val="000000"/>
          <w:sz w:val="24"/>
          <w:szCs w:val="24"/>
        </w:rPr>
        <w:t>元，超过采购上限价的属于无效响应。</w:t>
      </w:r>
    </w:p>
    <w:p>
      <w:pPr>
        <w:adjustRightInd w:val="0"/>
        <w:snapToGrid w:val="0"/>
        <w:spacing w:line="360" w:lineRule="auto"/>
        <w:rPr>
          <w:rFonts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4、供货期限：一年。</w:t>
      </w:r>
    </w:p>
    <w:p>
      <w:pPr>
        <w:adjustRightInd w:val="0"/>
        <w:snapToGrid w:val="0"/>
        <w:spacing w:line="360" w:lineRule="auto"/>
        <w:rPr>
          <w:rFonts w:ascii="宋体" w:hAnsi="宋体" w:cs="宋体"/>
          <w:color w:val="000000"/>
          <w:sz w:val="24"/>
          <w:szCs w:val="24"/>
        </w:rPr>
      </w:pPr>
      <w:r>
        <w:rPr>
          <w:rFonts w:ascii="宋体" w:hAnsi="宋体" w:cs="宋体"/>
          <w:color w:val="000000"/>
          <w:sz w:val="24"/>
          <w:szCs w:val="24"/>
        </w:rPr>
        <w:t>5</w:t>
      </w:r>
      <w:r>
        <w:rPr>
          <w:rFonts w:hint="eastAsia" w:ascii="宋体" w:hAnsi="宋体" w:cs="宋体"/>
          <w:color w:val="000000"/>
          <w:sz w:val="24"/>
          <w:szCs w:val="24"/>
        </w:rPr>
        <w:t>、报价：应包括货物、配送、质保期服务费、各种税费及合同实施过程中的不可预见费用等。</w:t>
      </w:r>
    </w:p>
    <w:p>
      <w:pPr>
        <w:widowControl/>
        <w:spacing w:line="360" w:lineRule="auto"/>
        <w:jc w:val="left"/>
        <w:rPr>
          <w:rFonts w:asciiTheme="minorEastAsia" w:hAnsiTheme="minorEastAsia" w:cstheme="minorEastAsia"/>
          <w:b/>
          <w:bCs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kern w:val="0"/>
          <w:sz w:val="28"/>
          <w:szCs w:val="28"/>
        </w:rPr>
        <w:t>二、采购清单</w:t>
      </w:r>
    </w:p>
    <w:tbl>
      <w:tblPr>
        <w:tblStyle w:val="10"/>
        <w:tblpPr w:leftFromText="180" w:rightFromText="180" w:vertAnchor="text" w:horzAnchor="page" w:tblpX="1592" w:tblpY="148"/>
        <w:tblOverlap w:val="never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1165"/>
        <w:gridCol w:w="1029"/>
        <w:gridCol w:w="1954"/>
        <w:gridCol w:w="757"/>
        <w:gridCol w:w="1315"/>
        <w:gridCol w:w="154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品名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规格型号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材质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参考数量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单价（元）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纸质利器盒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5升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纸质、聚乙烯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1500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纸质利器盒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10升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纸质、聚乙烯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58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纸质利器盒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纸质、聚乙烯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纸质利器盒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20升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纸质、聚乙烯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塑料利器盒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1升圆形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塑料聚丙烯（pp）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塑料利器盒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升圆形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塑料聚丙烯（pp）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塑料利器盒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3升圆形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塑料聚丙烯（pp）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塑料利器盒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升圆形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塑料聚丙烯（pp）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塑料利器盒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5升方形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塑料聚丙烯（pp）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含税合计：</w:t>
            </w:r>
          </w:p>
        </w:tc>
        <w:tc>
          <w:tcPr>
            <w:tcW w:w="0" w:type="auto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0" w:type="auto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备注：“品名”统一为利器盒，作为医疗废物利器盛装盒使用，响应供应商提供的货物名称与项目需求书货物名称不尽相同时，以技术参数为准，执行《医疗废物专用包装袋、容器和警示标志标准》（HJ421-2008）相关标准。</w:t>
            </w:r>
          </w:p>
        </w:tc>
      </w:tr>
    </w:tbl>
    <w:p>
      <w:pPr>
        <w:widowControl/>
        <w:spacing w:line="360" w:lineRule="auto"/>
        <w:jc w:val="left"/>
        <w:rPr>
          <w:rFonts w:asciiTheme="minorEastAsia" w:hAnsiTheme="minorEastAsia" w:cstheme="minorEastAsia"/>
          <w:kern w:val="0"/>
          <w:sz w:val="28"/>
          <w:szCs w:val="28"/>
        </w:rPr>
      </w:pPr>
    </w:p>
    <w:p>
      <w:pPr>
        <w:widowControl/>
        <w:spacing w:line="360" w:lineRule="auto"/>
        <w:jc w:val="left"/>
        <w:rPr>
          <w:rFonts w:asciiTheme="minorEastAsia" w:hAnsi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kern w:val="0"/>
          <w:sz w:val="28"/>
          <w:szCs w:val="28"/>
        </w:rPr>
        <w:t>三、质量要求</w:t>
      </w:r>
    </w:p>
    <w:p>
      <w:pPr>
        <w:widowControl/>
        <w:numPr>
          <w:ilvl w:val="0"/>
          <w:numId w:val="1"/>
        </w:numPr>
        <w:tabs>
          <w:tab w:val="left" w:pos="567"/>
        </w:tabs>
        <w:spacing w:line="460" w:lineRule="atLeast"/>
        <w:jc w:val="left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塑料利器盒标准</w:t>
      </w:r>
    </w:p>
    <w:p>
      <w:pPr>
        <w:widowControl/>
        <w:numPr>
          <w:ilvl w:val="2"/>
          <w:numId w:val="2"/>
        </w:numPr>
        <w:tabs>
          <w:tab w:val="left" w:pos="424"/>
        </w:tabs>
        <w:spacing w:line="460" w:lineRule="atLeast"/>
        <w:ind w:left="426" w:hanging="426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塑料利器盒整体为硬质塑胶材料制成，桶身光滑耐磨，做工精细无毛刺，耐高温，防老化，封闭性好，且防刺穿，以保证在正常情况下，利器盒内盛装物不撒漏，并且利器盒一旦被封口，在不破坏的情况下无法被再次打开。</w:t>
      </w:r>
    </w:p>
    <w:p>
      <w:pPr>
        <w:widowControl/>
        <w:numPr>
          <w:ilvl w:val="2"/>
          <w:numId w:val="2"/>
        </w:numPr>
        <w:tabs>
          <w:tab w:val="left" w:pos="424"/>
        </w:tabs>
        <w:spacing w:line="460" w:lineRule="atLeast"/>
        <w:ind w:left="426" w:hanging="426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满盛装量的利器盒从</w:t>
      </w:r>
      <w:r>
        <w:rPr>
          <w:rFonts w:ascii="宋体" w:hAnsi="宋体"/>
          <w:color w:val="000000"/>
          <w:sz w:val="24"/>
          <w:szCs w:val="24"/>
        </w:rPr>
        <w:t>1.</w:t>
      </w:r>
      <w:r>
        <w:rPr>
          <w:rFonts w:hint="eastAsia" w:ascii="宋体" w:hAnsi="宋体"/>
          <w:color w:val="000000"/>
          <w:sz w:val="24"/>
          <w:szCs w:val="24"/>
        </w:rPr>
        <w:t>2</w:t>
      </w:r>
      <w:r>
        <w:rPr>
          <w:rFonts w:ascii="宋体" w:hAnsi="宋体"/>
          <w:color w:val="000000"/>
          <w:sz w:val="24"/>
          <w:szCs w:val="24"/>
        </w:rPr>
        <w:t>m</w:t>
      </w:r>
      <w:r>
        <w:rPr>
          <w:rFonts w:hint="eastAsia" w:ascii="宋体" w:hAnsi="宋体"/>
          <w:color w:val="000000"/>
          <w:sz w:val="24"/>
          <w:szCs w:val="24"/>
        </w:rPr>
        <w:t>高处自由跌落至水泥地面，连续</w:t>
      </w:r>
      <w:r>
        <w:rPr>
          <w:rFonts w:ascii="宋体" w:hAnsi="宋体"/>
          <w:color w:val="000000"/>
          <w:sz w:val="24"/>
          <w:szCs w:val="24"/>
        </w:rPr>
        <w:t>3</w:t>
      </w:r>
      <w:r>
        <w:rPr>
          <w:rFonts w:hint="eastAsia" w:ascii="宋体" w:hAnsi="宋体"/>
          <w:color w:val="000000"/>
          <w:sz w:val="24"/>
          <w:szCs w:val="24"/>
        </w:rPr>
        <w:t>次，不会出现破裂、被刺穿等情况。</w:t>
      </w:r>
    </w:p>
    <w:p>
      <w:pPr>
        <w:widowControl/>
        <w:numPr>
          <w:ilvl w:val="2"/>
          <w:numId w:val="2"/>
        </w:numPr>
        <w:tabs>
          <w:tab w:val="left" w:pos="424"/>
        </w:tabs>
        <w:spacing w:line="460" w:lineRule="atLeast"/>
        <w:ind w:left="426" w:hanging="426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利器盒的颜色为淡黄，盒子明显位置应印制警示标志和警告语，符合《医疗废物专用包装袋、容器和警示标志标准》（HJ421-2008</w:t>
      </w:r>
      <w:r>
        <w:rPr>
          <w:rFonts w:ascii="宋体" w:hAnsi="宋体"/>
          <w:color w:val="000000"/>
          <w:sz w:val="24"/>
          <w:szCs w:val="24"/>
        </w:rPr>
        <w:t>）</w:t>
      </w:r>
      <w:r>
        <w:rPr>
          <w:rFonts w:hint="eastAsia" w:ascii="宋体" w:hAnsi="宋体"/>
          <w:color w:val="000000"/>
          <w:sz w:val="24"/>
          <w:szCs w:val="24"/>
        </w:rPr>
        <w:t>相关要求，如下图：</w:t>
      </w:r>
    </w:p>
    <w:p>
      <w:pPr>
        <w:autoSpaceDE w:val="0"/>
        <w:autoSpaceDN w:val="0"/>
        <w:adjustRightInd w:val="0"/>
        <w:spacing w:line="460" w:lineRule="atLeast"/>
        <w:ind w:left="780"/>
        <w:jc w:val="center"/>
        <w:rPr>
          <w:rFonts w:ascii="宋体" w:hAnsi="宋体" w:cs="宋体"/>
          <w:b/>
          <w:szCs w:val="21"/>
        </w:rPr>
      </w:pPr>
    </w:p>
    <w:p>
      <w:pPr>
        <w:autoSpaceDE w:val="0"/>
        <w:autoSpaceDN w:val="0"/>
        <w:adjustRightInd w:val="0"/>
        <w:spacing w:line="460" w:lineRule="atLeast"/>
        <w:ind w:left="780"/>
        <w:jc w:val="center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drawing>
          <wp:inline distT="0" distB="0" distL="0" distR="0">
            <wp:extent cx="3411220" cy="1478915"/>
            <wp:effectExtent l="19050" t="0" r="0" b="0"/>
            <wp:docPr id="1" name="图片 11" descr="F2LUS$_2NLFPO54@2~B1K)7_edit_1101582467900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F2LUS$_2NLFPO54@2~B1K)7_edit_110158246790065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11220" cy="1478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10"/>
        <w:tblW w:w="6356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1"/>
        <w:gridCol w:w="3515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460" w:lineRule="atLeas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警示标志的颜色和规定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>
            <w:pPr>
              <w:spacing w:line="460" w:lineRule="atLeast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/>
                <w:spacing w:val="10"/>
                <w:sz w:val="24"/>
                <w:szCs w:val="24"/>
              </w:rPr>
              <w:t>菱形边框</w:t>
            </w:r>
          </w:p>
        </w:tc>
        <w:tc>
          <w:tcPr>
            <w:tcW w:w="3515" w:type="dxa"/>
            <w:tcBorders>
              <w:tl2br w:val="nil"/>
              <w:tr2bl w:val="nil"/>
            </w:tcBorders>
            <w:vAlign w:val="center"/>
          </w:tcPr>
          <w:p>
            <w:pPr>
              <w:spacing w:line="460" w:lineRule="atLeast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/>
                <w:spacing w:val="10"/>
                <w:sz w:val="24"/>
                <w:szCs w:val="24"/>
              </w:rPr>
              <w:t>黑色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>
            <w:pPr>
              <w:spacing w:line="460" w:lineRule="atLeast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/>
                <w:spacing w:val="10"/>
                <w:sz w:val="24"/>
                <w:szCs w:val="24"/>
              </w:rPr>
              <w:t>背景色</w:t>
            </w:r>
          </w:p>
        </w:tc>
        <w:tc>
          <w:tcPr>
            <w:tcW w:w="3515" w:type="dxa"/>
            <w:tcBorders>
              <w:tl2br w:val="nil"/>
              <w:tr2bl w:val="nil"/>
            </w:tcBorders>
            <w:vAlign w:val="center"/>
          </w:tcPr>
          <w:p>
            <w:pPr>
              <w:spacing w:line="460" w:lineRule="atLeast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/>
                <w:spacing w:val="10"/>
                <w:sz w:val="24"/>
                <w:szCs w:val="24"/>
              </w:rPr>
              <w:t>淡黄（GB/T3181中的Y06）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>
            <w:pPr>
              <w:spacing w:line="460" w:lineRule="atLeast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/>
                <w:spacing w:val="10"/>
                <w:sz w:val="24"/>
                <w:szCs w:val="24"/>
              </w:rPr>
              <w:t>中英文文字</w:t>
            </w:r>
          </w:p>
        </w:tc>
        <w:tc>
          <w:tcPr>
            <w:tcW w:w="3515" w:type="dxa"/>
            <w:tcBorders>
              <w:tl2br w:val="nil"/>
              <w:tr2bl w:val="nil"/>
            </w:tcBorders>
            <w:vAlign w:val="center"/>
          </w:tcPr>
          <w:p>
            <w:pPr>
              <w:spacing w:line="460" w:lineRule="atLeast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/>
                <w:spacing w:val="10"/>
                <w:sz w:val="24"/>
                <w:szCs w:val="24"/>
              </w:rPr>
              <w:t>黑色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>
            <w:pPr>
              <w:spacing w:line="460" w:lineRule="atLeast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感染性标志</w:t>
            </w:r>
          </w:p>
        </w:tc>
        <w:tc>
          <w:tcPr>
            <w:tcW w:w="3515" w:type="dxa"/>
            <w:tcBorders>
              <w:tl2br w:val="nil"/>
              <w:tr2bl w:val="nil"/>
            </w:tcBorders>
            <w:vAlign w:val="center"/>
          </w:tcPr>
          <w:p>
            <w:pPr>
              <w:spacing w:line="460" w:lineRule="atLeast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高度最小2.5cm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>
            <w:pPr>
              <w:spacing w:line="460" w:lineRule="atLeast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中文文字</w:t>
            </w:r>
          </w:p>
        </w:tc>
        <w:tc>
          <w:tcPr>
            <w:tcW w:w="3515" w:type="dxa"/>
            <w:tcBorders>
              <w:tl2br w:val="nil"/>
              <w:tr2bl w:val="nil"/>
            </w:tcBorders>
            <w:vAlign w:val="center"/>
          </w:tcPr>
          <w:p>
            <w:pPr>
              <w:spacing w:line="460" w:lineRule="atLeast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高度最小0.5cm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>
            <w:pPr>
              <w:spacing w:line="460" w:lineRule="atLeast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英文文字</w:t>
            </w:r>
          </w:p>
        </w:tc>
        <w:tc>
          <w:tcPr>
            <w:tcW w:w="3515" w:type="dxa"/>
            <w:tcBorders>
              <w:tl2br w:val="nil"/>
              <w:tr2bl w:val="nil"/>
            </w:tcBorders>
            <w:vAlign w:val="center"/>
          </w:tcPr>
          <w:p>
            <w:pPr>
              <w:spacing w:line="460" w:lineRule="atLeast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高度最小0.3cm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cBorders>
              <w:tl2br w:val="nil"/>
              <w:tr2bl w:val="nil"/>
            </w:tcBorders>
            <w:vAlign w:val="center"/>
          </w:tcPr>
          <w:p>
            <w:pPr>
              <w:spacing w:line="460" w:lineRule="atLeast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警示标志</w:t>
            </w:r>
          </w:p>
        </w:tc>
        <w:tc>
          <w:tcPr>
            <w:tcW w:w="3515" w:type="dxa"/>
            <w:tcBorders>
              <w:tl2br w:val="nil"/>
              <w:tr2bl w:val="nil"/>
            </w:tcBorders>
            <w:vAlign w:val="center"/>
          </w:tcPr>
          <w:p>
            <w:pPr>
              <w:spacing w:line="460" w:lineRule="atLeast"/>
              <w:jc w:val="center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最小6.0cm×6.0cm</w:t>
            </w:r>
          </w:p>
        </w:tc>
      </w:tr>
    </w:tbl>
    <w:p>
      <w:pPr>
        <w:widowControl/>
        <w:numPr>
          <w:ilvl w:val="2"/>
          <w:numId w:val="2"/>
        </w:numPr>
        <w:tabs>
          <w:tab w:val="left" w:pos="424"/>
        </w:tabs>
        <w:spacing w:line="460" w:lineRule="atLeast"/>
        <w:ind w:left="426" w:hanging="426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 xml:space="preserve">圆形利器盒为旋转盖设计，密封性好，左右选择顶盖上的旋转盘，可开启或闭合利器盒。旋转盘关闭锁死后，无法再次打开。              </w:t>
      </w:r>
    </w:p>
    <w:p>
      <w:pPr>
        <w:widowControl/>
        <w:numPr>
          <w:ilvl w:val="2"/>
          <w:numId w:val="2"/>
        </w:numPr>
        <w:tabs>
          <w:tab w:val="left" w:pos="424"/>
        </w:tabs>
        <w:spacing w:line="460" w:lineRule="atLeast"/>
        <w:ind w:left="426" w:hanging="426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 xml:space="preserve">方形利器盒为立式翻盖设计，密封性好。盖子可上下掀起，掀起后盖子能立起不倒。使用完毕后，把盖子下翻扣紧，无法再次打开。 </w:t>
      </w:r>
    </w:p>
    <w:p>
      <w:pPr>
        <w:tabs>
          <w:tab w:val="left" w:pos="567"/>
        </w:tabs>
        <w:spacing w:line="460" w:lineRule="atLeast"/>
        <w:rPr>
          <w:rFonts w:ascii="宋体" w:hAnsi="宋体"/>
          <w:b/>
          <w:sz w:val="24"/>
          <w:szCs w:val="24"/>
        </w:rPr>
      </w:pPr>
    </w:p>
    <w:p>
      <w:pPr>
        <w:tabs>
          <w:tab w:val="left" w:pos="567"/>
        </w:tabs>
        <w:spacing w:line="460" w:lineRule="atLeast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（二）</w:t>
      </w:r>
      <w:r>
        <w:rPr>
          <w:rFonts w:hint="eastAsia" w:ascii="宋体" w:hAnsi="宋体" w:cs="宋体"/>
          <w:b/>
          <w:color w:val="000000"/>
          <w:sz w:val="24"/>
          <w:szCs w:val="24"/>
        </w:rPr>
        <w:t>纸质利器盒</w:t>
      </w:r>
      <w:r>
        <w:rPr>
          <w:rFonts w:hint="eastAsia" w:ascii="宋体" w:hAnsi="宋体"/>
          <w:b/>
          <w:sz w:val="24"/>
          <w:szCs w:val="24"/>
        </w:rPr>
        <w:t>标准</w:t>
      </w:r>
    </w:p>
    <w:p>
      <w:pPr>
        <w:widowControl/>
        <w:numPr>
          <w:ilvl w:val="2"/>
          <w:numId w:val="3"/>
        </w:numPr>
        <w:tabs>
          <w:tab w:val="left" w:pos="424"/>
        </w:tabs>
        <w:spacing w:line="460" w:lineRule="atLeast"/>
        <w:ind w:left="426" w:hanging="426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纸质利器盒</w:t>
      </w:r>
      <w:r>
        <w:rPr>
          <w:rFonts w:hint="eastAsia" w:ascii="宋体" w:hAnsi="宋体"/>
          <w:color w:val="000000"/>
          <w:sz w:val="24"/>
          <w:szCs w:val="24"/>
        </w:rPr>
        <w:t>由内和外包装盒及黄色聚乙烯塑料袋构成，内盒高度不低于外包装的90%。</w:t>
      </w:r>
    </w:p>
    <w:p>
      <w:pPr>
        <w:widowControl/>
        <w:numPr>
          <w:ilvl w:val="2"/>
          <w:numId w:val="3"/>
        </w:numPr>
        <w:tabs>
          <w:tab w:val="left" w:pos="424"/>
        </w:tabs>
        <w:spacing w:line="460" w:lineRule="atLeast"/>
        <w:ind w:left="426" w:hanging="426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满盛装量的利器盒从1.2M高处自由跌落致水泥地面,连续3次，不会出现破裂，被刺穿等情况。</w:t>
      </w:r>
    </w:p>
    <w:p>
      <w:pPr>
        <w:widowControl/>
        <w:numPr>
          <w:ilvl w:val="2"/>
          <w:numId w:val="3"/>
        </w:numPr>
        <w:tabs>
          <w:tab w:val="left" w:pos="424"/>
        </w:tabs>
        <w:spacing w:line="460" w:lineRule="atLeast"/>
        <w:ind w:left="426" w:hanging="426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纸质利器盒</w:t>
      </w:r>
      <w:r>
        <w:rPr>
          <w:rFonts w:hint="eastAsia" w:ascii="宋体" w:hAnsi="宋体"/>
          <w:color w:val="000000"/>
          <w:sz w:val="24"/>
          <w:szCs w:val="24"/>
        </w:rPr>
        <w:t>的颜色为淡黄，盒子明显位置应印制警示标志和警告语，符合《医疗废物专用包装袋、容器和警示标志标准》（HJ421-2008）相关要求，如下图：</w:t>
      </w:r>
    </w:p>
    <w:p>
      <w:pPr>
        <w:tabs>
          <w:tab w:val="left" w:pos="424"/>
        </w:tabs>
        <w:spacing w:line="460" w:lineRule="atLeast"/>
        <w:rPr>
          <w:rFonts w:ascii="宋体" w:hAnsi="宋体"/>
          <w:color w:val="000000"/>
        </w:rPr>
      </w:pPr>
    </w:p>
    <w:p>
      <w:pPr>
        <w:autoSpaceDE w:val="0"/>
        <w:autoSpaceDN w:val="0"/>
        <w:adjustRightInd w:val="0"/>
        <w:spacing w:line="460" w:lineRule="atLeast"/>
        <w:jc w:val="center"/>
        <w:rPr>
          <w:rFonts w:ascii="宋体" w:hAnsi="宋体" w:cs="宋体"/>
          <w:b/>
          <w:szCs w:val="21"/>
        </w:rPr>
      </w:pPr>
      <w:r>
        <w:rPr>
          <w:rFonts w:ascii="宋体" w:hAnsi="宋体" w:cs="宋体"/>
          <w:b/>
          <w:szCs w:val="21"/>
        </w:rPr>
        <w:drawing>
          <wp:inline distT="0" distB="0" distL="0" distR="0">
            <wp:extent cx="3506470" cy="1518920"/>
            <wp:effectExtent l="19050" t="0" r="0" b="0"/>
            <wp:docPr id="2" name="图片 6" descr="利器盒警示标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6" descr="利器盒警示标识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06470" cy="1518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adjustRightInd w:val="0"/>
        <w:spacing w:line="460" w:lineRule="atLeast"/>
        <w:ind w:left="780"/>
        <w:rPr>
          <w:rFonts w:ascii="宋体" w:hAnsi="宋体" w:cs="宋体"/>
          <w:b/>
          <w:szCs w:val="21"/>
        </w:rPr>
      </w:pPr>
    </w:p>
    <w:tbl>
      <w:tblPr>
        <w:tblStyle w:val="10"/>
        <w:tblW w:w="6356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1"/>
        <w:gridCol w:w="3515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6" w:type="dxa"/>
            <w:gridSpan w:val="2"/>
            <w:tcBorders>
              <w:tl2br w:val="nil"/>
              <w:tr2bl w:val="nil"/>
            </w:tcBorders>
          </w:tcPr>
          <w:p>
            <w:pPr>
              <w:spacing w:line="460" w:lineRule="atLeas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警示标志的颜色和规定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cBorders>
              <w:tl2br w:val="nil"/>
              <w:tr2bl w:val="nil"/>
            </w:tcBorders>
          </w:tcPr>
          <w:p>
            <w:pPr>
              <w:spacing w:line="460" w:lineRule="atLeast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/>
                <w:spacing w:val="10"/>
                <w:sz w:val="24"/>
                <w:szCs w:val="24"/>
              </w:rPr>
              <w:t>菱形边框</w:t>
            </w:r>
          </w:p>
        </w:tc>
        <w:tc>
          <w:tcPr>
            <w:tcW w:w="3515" w:type="dxa"/>
            <w:tcBorders>
              <w:tl2br w:val="nil"/>
              <w:tr2bl w:val="nil"/>
            </w:tcBorders>
          </w:tcPr>
          <w:p>
            <w:pPr>
              <w:spacing w:line="460" w:lineRule="atLeast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/>
                <w:spacing w:val="10"/>
                <w:sz w:val="24"/>
                <w:szCs w:val="24"/>
              </w:rPr>
              <w:t>黑色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cBorders>
              <w:tl2br w:val="nil"/>
              <w:tr2bl w:val="nil"/>
            </w:tcBorders>
          </w:tcPr>
          <w:p>
            <w:pPr>
              <w:spacing w:line="460" w:lineRule="atLeast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/>
                <w:spacing w:val="10"/>
                <w:sz w:val="24"/>
                <w:szCs w:val="24"/>
              </w:rPr>
              <w:t>背景色</w:t>
            </w:r>
          </w:p>
        </w:tc>
        <w:tc>
          <w:tcPr>
            <w:tcW w:w="3515" w:type="dxa"/>
            <w:tcBorders>
              <w:tl2br w:val="nil"/>
              <w:tr2bl w:val="nil"/>
            </w:tcBorders>
          </w:tcPr>
          <w:p>
            <w:pPr>
              <w:spacing w:line="460" w:lineRule="atLeast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/>
                <w:spacing w:val="10"/>
                <w:sz w:val="24"/>
                <w:szCs w:val="24"/>
              </w:rPr>
              <w:t>淡黄（GB/T3181中的Y06）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cBorders>
              <w:tl2br w:val="nil"/>
              <w:tr2bl w:val="nil"/>
            </w:tcBorders>
          </w:tcPr>
          <w:p>
            <w:pPr>
              <w:spacing w:line="460" w:lineRule="atLeast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/>
                <w:spacing w:val="10"/>
                <w:sz w:val="24"/>
                <w:szCs w:val="24"/>
              </w:rPr>
              <w:t>中英文文字</w:t>
            </w:r>
          </w:p>
        </w:tc>
        <w:tc>
          <w:tcPr>
            <w:tcW w:w="3515" w:type="dxa"/>
            <w:tcBorders>
              <w:tl2br w:val="nil"/>
              <w:tr2bl w:val="nil"/>
            </w:tcBorders>
          </w:tcPr>
          <w:p>
            <w:pPr>
              <w:spacing w:line="460" w:lineRule="atLeast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/>
                <w:spacing w:val="10"/>
                <w:sz w:val="24"/>
                <w:szCs w:val="24"/>
              </w:rPr>
              <w:t>黑色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cBorders>
              <w:tl2br w:val="nil"/>
              <w:tr2bl w:val="nil"/>
            </w:tcBorders>
          </w:tcPr>
          <w:p>
            <w:pPr>
              <w:spacing w:line="460" w:lineRule="atLeast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感染性标志</w:t>
            </w:r>
          </w:p>
        </w:tc>
        <w:tc>
          <w:tcPr>
            <w:tcW w:w="3515" w:type="dxa"/>
            <w:tcBorders>
              <w:tl2br w:val="nil"/>
              <w:tr2bl w:val="nil"/>
            </w:tcBorders>
          </w:tcPr>
          <w:p>
            <w:pPr>
              <w:spacing w:line="460" w:lineRule="atLeast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高度最小2.5cm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cBorders>
              <w:tl2br w:val="nil"/>
              <w:tr2bl w:val="nil"/>
            </w:tcBorders>
          </w:tcPr>
          <w:p>
            <w:pPr>
              <w:spacing w:line="460" w:lineRule="atLeast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中文文字</w:t>
            </w:r>
          </w:p>
        </w:tc>
        <w:tc>
          <w:tcPr>
            <w:tcW w:w="3515" w:type="dxa"/>
            <w:tcBorders>
              <w:tl2br w:val="nil"/>
              <w:tr2bl w:val="nil"/>
            </w:tcBorders>
          </w:tcPr>
          <w:p>
            <w:pPr>
              <w:spacing w:line="460" w:lineRule="atLeast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高度最小0.5cm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cBorders>
              <w:tl2br w:val="nil"/>
              <w:tr2bl w:val="nil"/>
            </w:tcBorders>
          </w:tcPr>
          <w:p>
            <w:pPr>
              <w:spacing w:line="460" w:lineRule="atLeast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英文文字</w:t>
            </w:r>
          </w:p>
        </w:tc>
        <w:tc>
          <w:tcPr>
            <w:tcW w:w="3515" w:type="dxa"/>
            <w:tcBorders>
              <w:tl2br w:val="nil"/>
              <w:tr2bl w:val="nil"/>
            </w:tcBorders>
          </w:tcPr>
          <w:p>
            <w:pPr>
              <w:spacing w:line="460" w:lineRule="atLeast"/>
              <w:rPr>
                <w:rFonts w:ascii="宋体" w:hAnsi="宋体"/>
                <w:spacing w:val="1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高度最小0.3cm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tcBorders>
              <w:tl2br w:val="nil"/>
              <w:tr2bl w:val="nil"/>
            </w:tcBorders>
          </w:tcPr>
          <w:p>
            <w:pPr>
              <w:spacing w:line="460" w:lineRule="atLeas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警示标志</w:t>
            </w:r>
          </w:p>
        </w:tc>
        <w:tc>
          <w:tcPr>
            <w:tcW w:w="3515" w:type="dxa"/>
            <w:tcBorders>
              <w:tl2br w:val="nil"/>
              <w:tr2bl w:val="nil"/>
            </w:tcBorders>
          </w:tcPr>
          <w:p>
            <w:pPr>
              <w:spacing w:line="460" w:lineRule="atLeas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最小6.0cm×6.0cm</w:t>
            </w:r>
          </w:p>
        </w:tc>
      </w:tr>
    </w:tbl>
    <w:p>
      <w:pPr>
        <w:widowControl/>
        <w:numPr>
          <w:ilvl w:val="2"/>
          <w:numId w:val="3"/>
        </w:numPr>
        <w:tabs>
          <w:tab w:val="left" w:pos="424"/>
        </w:tabs>
        <w:spacing w:line="460" w:lineRule="atLeast"/>
        <w:ind w:left="426" w:hanging="426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4"/>
          <w:szCs w:val="24"/>
        </w:rPr>
        <w:t>利器盒需配有封箱标签，标签至少包括科室、封箱时间等内容。</w:t>
      </w:r>
    </w:p>
    <w:p>
      <w:pPr>
        <w:widowControl/>
        <w:spacing w:line="360" w:lineRule="auto"/>
        <w:jc w:val="left"/>
        <w:rPr>
          <w:rFonts w:asciiTheme="minorEastAsia" w:hAnsiTheme="minorEastAsia" w:cstheme="minorEastAsia"/>
          <w:kern w:val="0"/>
          <w:sz w:val="28"/>
          <w:szCs w:val="28"/>
        </w:rPr>
      </w:pPr>
    </w:p>
    <w:p>
      <w:pPr>
        <w:widowControl/>
        <w:spacing w:line="360" w:lineRule="auto"/>
        <w:jc w:val="left"/>
        <w:rPr>
          <w:rFonts w:asciiTheme="minorEastAsia" w:hAnsiTheme="minorEastAsia" w:cstheme="minorEastAsia"/>
          <w:b/>
          <w:bCs/>
          <w:kern w:val="0"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kern w:val="0"/>
          <w:sz w:val="28"/>
          <w:szCs w:val="28"/>
        </w:rPr>
        <w:t>四、项目要求</w:t>
      </w:r>
    </w:p>
    <w:p>
      <w:pPr>
        <w:adjustRightInd w:val="0"/>
        <w:snapToGrid w:val="0"/>
        <w:spacing w:line="360" w:lineRule="auto"/>
        <w:rPr>
          <w:rFonts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1、质保期不少于一年，自货物验收合格交付使用之日起计算。</w:t>
      </w:r>
    </w:p>
    <w:p>
      <w:pPr>
        <w:adjustRightInd w:val="0"/>
        <w:snapToGrid w:val="0"/>
        <w:spacing w:line="360" w:lineRule="auto"/>
        <w:rPr>
          <w:rFonts w:ascii="宋体" w:hAnsi="宋体" w:cs="宋体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2、质保期内供应商提供“包退、包换、包修”的质量“三包”服务。</w:t>
      </w:r>
    </w:p>
    <w:p>
      <w:pPr>
        <w:adjustRightInd w:val="0"/>
        <w:snapToGrid w:val="0"/>
        <w:spacing w:line="360" w:lineRule="auto"/>
        <w:rPr>
          <w:rFonts w:ascii="宋体" w:hAnsi="宋体" w:cs="宋体"/>
          <w:color w:val="FF0000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</w:rPr>
        <w:t>3、</w:t>
      </w:r>
      <w:r>
        <w:rPr>
          <w:rFonts w:hint="eastAsia" w:ascii="宋体" w:hAnsi="宋体" w:cs="宋体"/>
          <w:color w:val="000000"/>
          <w:sz w:val="24"/>
          <w:szCs w:val="24"/>
        </w:rPr>
        <w:t>供应商收到送货通知后，应及时安排送货。急需货物48小时内送到，一般货物72小时送到，节假日及法定假日照常配送。</w:t>
      </w:r>
    </w:p>
    <w:p>
      <w:pPr>
        <w:adjustRightInd w:val="0"/>
        <w:snapToGrid w:val="0"/>
        <w:spacing w:line="360" w:lineRule="auto"/>
        <w:rPr>
          <w:rFonts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4、验收及质保期内出现的</w:t>
      </w:r>
      <w:r>
        <w:rPr>
          <w:rFonts w:hint="eastAsia" w:ascii="宋体" w:hAnsi="宋体" w:cs="宋体"/>
          <w:bCs/>
          <w:color w:val="000000"/>
          <w:sz w:val="24"/>
          <w:szCs w:val="24"/>
        </w:rPr>
        <w:t>货物有短缺、次品、损坏或其他不符合项目要求的，供应商承担由此产生的一切费用和损失。</w:t>
      </w:r>
    </w:p>
    <w:p>
      <w:pPr>
        <w:adjustRightInd w:val="0"/>
        <w:snapToGrid w:val="0"/>
        <w:spacing w:line="360" w:lineRule="auto"/>
        <w:rPr>
          <w:rFonts w:hint="eastAsia" w:ascii="宋体" w:hAnsi="宋体" w:cs="宋体"/>
          <w:bCs/>
          <w:color w:val="000000"/>
          <w:sz w:val="28"/>
          <w:szCs w:val="28"/>
        </w:rPr>
      </w:pPr>
    </w:p>
    <w:p>
      <w:pPr>
        <w:adjustRightInd w:val="0"/>
        <w:snapToGrid w:val="0"/>
        <w:spacing w:line="360" w:lineRule="auto"/>
        <w:rPr>
          <w:rFonts w:ascii="宋体" w:hAnsi="宋体" w:cs="宋体"/>
          <w:b/>
          <w:bCs w:val="0"/>
          <w:color w:val="000000"/>
          <w:sz w:val="28"/>
          <w:szCs w:val="28"/>
        </w:rPr>
      </w:pPr>
      <w:r>
        <w:rPr>
          <w:rFonts w:hint="eastAsia" w:ascii="宋体" w:hAnsi="宋体" w:cs="宋体"/>
          <w:b/>
          <w:bCs w:val="0"/>
          <w:color w:val="000000"/>
          <w:sz w:val="28"/>
          <w:szCs w:val="28"/>
        </w:rPr>
        <w:t>五、验收及结算</w:t>
      </w:r>
    </w:p>
    <w:p>
      <w:pPr>
        <w:adjustRightInd w:val="0"/>
        <w:snapToGrid w:val="0"/>
        <w:spacing w:line="360" w:lineRule="auto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hint="eastAsia" w:ascii="宋体" w:hAnsi="宋体" w:cs="宋体"/>
          <w:bCs/>
          <w:color w:val="000000"/>
          <w:sz w:val="24"/>
          <w:szCs w:val="24"/>
        </w:rPr>
        <w:t>1、供应商将货物送到采购人指定地点，采购人按国家相关标准、行业标准及项目要求进行验收。</w:t>
      </w:r>
    </w:p>
    <w:p>
      <w:pPr>
        <w:adjustRightInd w:val="0"/>
        <w:snapToGrid w:val="0"/>
        <w:spacing w:line="360" w:lineRule="auto"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hint="eastAsia" w:ascii="宋体" w:hAnsi="宋体" w:cs="宋体"/>
          <w:bCs/>
          <w:color w:val="000000"/>
          <w:sz w:val="24"/>
          <w:szCs w:val="24"/>
        </w:rPr>
        <w:t>2、供货期间根据货物单价及实际采购数量分批结算，凭送货单、正规发票，采购人于60个自然日内支付相应货款。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E27D99"/>
    <w:multiLevelType w:val="multilevel"/>
    <w:tmpl w:val="4FE27D99"/>
    <w:lvl w:ilvl="0" w:tentative="0">
      <w:start w:val="1"/>
      <w:numFmt w:val="decimal"/>
      <w:lvlText w:val="%1."/>
      <w:lvlJc w:val="left"/>
      <w:pPr>
        <w:ind w:left="1200" w:hanging="420"/>
      </w:pPr>
    </w:lvl>
    <w:lvl w:ilvl="1" w:tentative="0">
      <w:start w:val="1"/>
      <w:numFmt w:val="lowerLetter"/>
      <w:lvlText w:val="%2)"/>
      <w:lvlJc w:val="left"/>
      <w:pPr>
        <w:ind w:left="1620" w:hanging="420"/>
      </w:pPr>
    </w:lvl>
    <w:lvl w:ilvl="2" w:tentative="0">
      <w:start w:val="1"/>
      <w:numFmt w:val="decimal"/>
      <w:lvlText w:val="%3、"/>
      <w:lvlJc w:val="left"/>
      <w:pPr>
        <w:ind w:left="2040" w:hanging="420"/>
      </w:pPr>
      <w:rPr>
        <w:rFonts w:hint="eastAsia"/>
        <w:b w:val="0"/>
      </w:rPr>
    </w:lvl>
    <w:lvl w:ilvl="3" w:tentative="0">
      <w:start w:val="1"/>
      <w:numFmt w:val="decimal"/>
      <w:lvlText w:val="%4."/>
      <w:lvlJc w:val="left"/>
      <w:pPr>
        <w:ind w:left="2460" w:hanging="420"/>
      </w:pPr>
    </w:lvl>
    <w:lvl w:ilvl="4" w:tentative="0">
      <w:start w:val="1"/>
      <w:numFmt w:val="lowerLetter"/>
      <w:lvlText w:val="%5)"/>
      <w:lvlJc w:val="left"/>
      <w:pPr>
        <w:ind w:left="2880" w:hanging="420"/>
      </w:pPr>
    </w:lvl>
    <w:lvl w:ilvl="5" w:tentative="0">
      <w:start w:val="1"/>
      <w:numFmt w:val="lowerRoman"/>
      <w:lvlText w:val="%6."/>
      <w:lvlJc w:val="right"/>
      <w:pPr>
        <w:ind w:left="3300" w:hanging="420"/>
      </w:pPr>
    </w:lvl>
    <w:lvl w:ilvl="6" w:tentative="0">
      <w:start w:val="1"/>
      <w:numFmt w:val="decimal"/>
      <w:lvlText w:val="%7."/>
      <w:lvlJc w:val="left"/>
      <w:pPr>
        <w:ind w:left="3720" w:hanging="420"/>
      </w:pPr>
    </w:lvl>
    <w:lvl w:ilvl="7" w:tentative="0">
      <w:start w:val="1"/>
      <w:numFmt w:val="lowerLetter"/>
      <w:lvlText w:val="%8)"/>
      <w:lvlJc w:val="left"/>
      <w:pPr>
        <w:ind w:left="4140" w:hanging="420"/>
      </w:pPr>
    </w:lvl>
    <w:lvl w:ilvl="8" w:tentative="0">
      <w:start w:val="1"/>
      <w:numFmt w:val="lowerRoman"/>
      <w:lvlText w:val="%9."/>
      <w:lvlJc w:val="right"/>
      <w:pPr>
        <w:ind w:left="4560" w:hanging="420"/>
      </w:pPr>
    </w:lvl>
  </w:abstractNum>
  <w:abstractNum w:abstractNumId="1">
    <w:nsid w:val="5C8941C7"/>
    <w:multiLevelType w:val="multilevel"/>
    <w:tmpl w:val="5C8941C7"/>
    <w:lvl w:ilvl="0" w:tentative="0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94841D0"/>
    <w:multiLevelType w:val="multilevel"/>
    <w:tmpl w:val="794841D0"/>
    <w:lvl w:ilvl="0" w:tentative="0">
      <w:start w:val="1"/>
      <w:numFmt w:val="decimal"/>
      <w:lvlText w:val="%1."/>
      <w:lvlJc w:val="left"/>
      <w:pPr>
        <w:ind w:left="1200" w:hanging="420"/>
      </w:pPr>
    </w:lvl>
    <w:lvl w:ilvl="1" w:tentative="0">
      <w:start w:val="1"/>
      <w:numFmt w:val="lowerLetter"/>
      <w:lvlText w:val="%2)"/>
      <w:lvlJc w:val="left"/>
      <w:pPr>
        <w:ind w:left="1620" w:hanging="420"/>
      </w:pPr>
    </w:lvl>
    <w:lvl w:ilvl="2" w:tentative="0">
      <w:start w:val="1"/>
      <w:numFmt w:val="decimal"/>
      <w:lvlText w:val="%3、"/>
      <w:lvlJc w:val="left"/>
      <w:pPr>
        <w:ind w:left="2040" w:hanging="420"/>
      </w:pPr>
      <w:rPr>
        <w:rFonts w:hint="eastAsia"/>
        <w:b w:val="0"/>
      </w:rPr>
    </w:lvl>
    <w:lvl w:ilvl="3" w:tentative="0">
      <w:start w:val="1"/>
      <w:numFmt w:val="decimal"/>
      <w:lvlText w:val="%4."/>
      <w:lvlJc w:val="left"/>
      <w:pPr>
        <w:ind w:left="2460" w:hanging="420"/>
      </w:pPr>
    </w:lvl>
    <w:lvl w:ilvl="4" w:tentative="0">
      <w:start w:val="1"/>
      <w:numFmt w:val="lowerLetter"/>
      <w:lvlText w:val="%5)"/>
      <w:lvlJc w:val="left"/>
      <w:pPr>
        <w:ind w:left="2880" w:hanging="420"/>
      </w:pPr>
    </w:lvl>
    <w:lvl w:ilvl="5" w:tentative="0">
      <w:start w:val="1"/>
      <w:numFmt w:val="lowerRoman"/>
      <w:lvlText w:val="%6."/>
      <w:lvlJc w:val="right"/>
      <w:pPr>
        <w:ind w:left="3300" w:hanging="420"/>
      </w:pPr>
    </w:lvl>
    <w:lvl w:ilvl="6" w:tentative="0">
      <w:start w:val="1"/>
      <w:numFmt w:val="decimal"/>
      <w:lvlText w:val="%7."/>
      <w:lvlJc w:val="left"/>
      <w:pPr>
        <w:ind w:left="3720" w:hanging="420"/>
      </w:pPr>
    </w:lvl>
    <w:lvl w:ilvl="7" w:tentative="0">
      <w:start w:val="1"/>
      <w:numFmt w:val="lowerLetter"/>
      <w:lvlText w:val="%8)"/>
      <w:lvlJc w:val="left"/>
      <w:pPr>
        <w:ind w:left="4140" w:hanging="420"/>
      </w:pPr>
    </w:lvl>
    <w:lvl w:ilvl="8" w:tentative="0">
      <w:start w:val="1"/>
      <w:numFmt w:val="lowerRoman"/>
      <w:lvlText w:val="%9."/>
      <w:lvlJc w:val="right"/>
      <w:pPr>
        <w:ind w:left="456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E384B"/>
    <w:rsid w:val="00025D7E"/>
    <w:rsid w:val="00033B53"/>
    <w:rsid w:val="00047C0D"/>
    <w:rsid w:val="00052716"/>
    <w:rsid w:val="00054CCB"/>
    <w:rsid w:val="000612E1"/>
    <w:rsid w:val="00062B23"/>
    <w:rsid w:val="000656F0"/>
    <w:rsid w:val="00097933"/>
    <w:rsid w:val="000A075D"/>
    <w:rsid w:val="000A4E23"/>
    <w:rsid w:val="000B5AEC"/>
    <w:rsid w:val="000C1A22"/>
    <w:rsid w:val="000C296F"/>
    <w:rsid w:val="000C44AD"/>
    <w:rsid w:val="000D07D0"/>
    <w:rsid w:val="00104F97"/>
    <w:rsid w:val="0012755B"/>
    <w:rsid w:val="00127A1B"/>
    <w:rsid w:val="001317B0"/>
    <w:rsid w:val="0013287F"/>
    <w:rsid w:val="0015152E"/>
    <w:rsid w:val="00173B44"/>
    <w:rsid w:val="001771EA"/>
    <w:rsid w:val="001827CC"/>
    <w:rsid w:val="00185AB4"/>
    <w:rsid w:val="00192825"/>
    <w:rsid w:val="001A5B44"/>
    <w:rsid w:val="001B392C"/>
    <w:rsid w:val="001B46D4"/>
    <w:rsid w:val="001D7351"/>
    <w:rsid w:val="001F63E1"/>
    <w:rsid w:val="001F7C64"/>
    <w:rsid w:val="00210C94"/>
    <w:rsid w:val="00211407"/>
    <w:rsid w:val="00222045"/>
    <w:rsid w:val="00223CFE"/>
    <w:rsid w:val="00231BC5"/>
    <w:rsid w:val="002336B8"/>
    <w:rsid w:val="00236BCD"/>
    <w:rsid w:val="002403DE"/>
    <w:rsid w:val="002452D2"/>
    <w:rsid w:val="0026714A"/>
    <w:rsid w:val="00267BB1"/>
    <w:rsid w:val="00270070"/>
    <w:rsid w:val="00271584"/>
    <w:rsid w:val="002852D0"/>
    <w:rsid w:val="002945AA"/>
    <w:rsid w:val="002A124B"/>
    <w:rsid w:val="002A3ED1"/>
    <w:rsid w:val="002C1259"/>
    <w:rsid w:val="002C168B"/>
    <w:rsid w:val="003013A1"/>
    <w:rsid w:val="0030175E"/>
    <w:rsid w:val="00316432"/>
    <w:rsid w:val="00324217"/>
    <w:rsid w:val="003310D7"/>
    <w:rsid w:val="00334C99"/>
    <w:rsid w:val="00342179"/>
    <w:rsid w:val="00347319"/>
    <w:rsid w:val="00353F21"/>
    <w:rsid w:val="00357F02"/>
    <w:rsid w:val="003604D5"/>
    <w:rsid w:val="00371E76"/>
    <w:rsid w:val="00372058"/>
    <w:rsid w:val="00373F7B"/>
    <w:rsid w:val="00375E17"/>
    <w:rsid w:val="003812BC"/>
    <w:rsid w:val="00385202"/>
    <w:rsid w:val="00385569"/>
    <w:rsid w:val="003959C8"/>
    <w:rsid w:val="003974BF"/>
    <w:rsid w:val="003A1421"/>
    <w:rsid w:val="003B152A"/>
    <w:rsid w:val="003C3562"/>
    <w:rsid w:val="003D1941"/>
    <w:rsid w:val="003D6BF1"/>
    <w:rsid w:val="003E3281"/>
    <w:rsid w:val="003E6ECB"/>
    <w:rsid w:val="003E755C"/>
    <w:rsid w:val="003F55CB"/>
    <w:rsid w:val="003F6B24"/>
    <w:rsid w:val="00414EF7"/>
    <w:rsid w:val="00420B63"/>
    <w:rsid w:val="00431CAB"/>
    <w:rsid w:val="00443796"/>
    <w:rsid w:val="004537DB"/>
    <w:rsid w:val="00453E9F"/>
    <w:rsid w:val="00460841"/>
    <w:rsid w:val="00463AA4"/>
    <w:rsid w:val="00464646"/>
    <w:rsid w:val="00482FAC"/>
    <w:rsid w:val="00490745"/>
    <w:rsid w:val="00491ED9"/>
    <w:rsid w:val="004A077E"/>
    <w:rsid w:val="004A5F17"/>
    <w:rsid w:val="004A7685"/>
    <w:rsid w:val="004D6B9C"/>
    <w:rsid w:val="004E6067"/>
    <w:rsid w:val="004F1FEB"/>
    <w:rsid w:val="004F5B68"/>
    <w:rsid w:val="00511413"/>
    <w:rsid w:val="0051212A"/>
    <w:rsid w:val="00512E07"/>
    <w:rsid w:val="00526C22"/>
    <w:rsid w:val="00554A7C"/>
    <w:rsid w:val="0055660F"/>
    <w:rsid w:val="00557841"/>
    <w:rsid w:val="00557AF4"/>
    <w:rsid w:val="005761CB"/>
    <w:rsid w:val="00581449"/>
    <w:rsid w:val="00581EA8"/>
    <w:rsid w:val="005834CE"/>
    <w:rsid w:val="00590133"/>
    <w:rsid w:val="00590B17"/>
    <w:rsid w:val="00596091"/>
    <w:rsid w:val="00596D2B"/>
    <w:rsid w:val="005A01BB"/>
    <w:rsid w:val="005A5AEC"/>
    <w:rsid w:val="005B04C9"/>
    <w:rsid w:val="005B5293"/>
    <w:rsid w:val="005B78A3"/>
    <w:rsid w:val="005E01B1"/>
    <w:rsid w:val="005E4198"/>
    <w:rsid w:val="005E5369"/>
    <w:rsid w:val="005E5559"/>
    <w:rsid w:val="005F175A"/>
    <w:rsid w:val="00603A9A"/>
    <w:rsid w:val="00611D97"/>
    <w:rsid w:val="0062419F"/>
    <w:rsid w:val="006311FC"/>
    <w:rsid w:val="00644395"/>
    <w:rsid w:val="00646BA6"/>
    <w:rsid w:val="00665BD7"/>
    <w:rsid w:val="00676949"/>
    <w:rsid w:val="006804F5"/>
    <w:rsid w:val="006946A9"/>
    <w:rsid w:val="006A37A7"/>
    <w:rsid w:val="006A4667"/>
    <w:rsid w:val="006B5992"/>
    <w:rsid w:val="006C09BC"/>
    <w:rsid w:val="006C13D3"/>
    <w:rsid w:val="006C36D4"/>
    <w:rsid w:val="006C395A"/>
    <w:rsid w:val="006C60BB"/>
    <w:rsid w:val="006E384B"/>
    <w:rsid w:val="00701102"/>
    <w:rsid w:val="0071026D"/>
    <w:rsid w:val="00713A7E"/>
    <w:rsid w:val="00723BD5"/>
    <w:rsid w:val="00733A67"/>
    <w:rsid w:val="00740442"/>
    <w:rsid w:val="007471F8"/>
    <w:rsid w:val="00761A5E"/>
    <w:rsid w:val="00766E62"/>
    <w:rsid w:val="007750C4"/>
    <w:rsid w:val="00795C66"/>
    <w:rsid w:val="007B33A7"/>
    <w:rsid w:val="00806DEF"/>
    <w:rsid w:val="00832C0E"/>
    <w:rsid w:val="00835E41"/>
    <w:rsid w:val="0084028C"/>
    <w:rsid w:val="00861016"/>
    <w:rsid w:val="00862B90"/>
    <w:rsid w:val="00873D8F"/>
    <w:rsid w:val="00894532"/>
    <w:rsid w:val="008A4B79"/>
    <w:rsid w:val="008B08B3"/>
    <w:rsid w:val="008B6EB3"/>
    <w:rsid w:val="008C0334"/>
    <w:rsid w:val="008C4B6B"/>
    <w:rsid w:val="008D6CE0"/>
    <w:rsid w:val="008E3CF7"/>
    <w:rsid w:val="008E589B"/>
    <w:rsid w:val="008E664E"/>
    <w:rsid w:val="0091330A"/>
    <w:rsid w:val="0094216D"/>
    <w:rsid w:val="00952799"/>
    <w:rsid w:val="00961ED6"/>
    <w:rsid w:val="009708C2"/>
    <w:rsid w:val="0098457D"/>
    <w:rsid w:val="00994317"/>
    <w:rsid w:val="009A09B6"/>
    <w:rsid w:val="009C30A4"/>
    <w:rsid w:val="009C731F"/>
    <w:rsid w:val="009D064B"/>
    <w:rsid w:val="009D2323"/>
    <w:rsid w:val="009D6678"/>
    <w:rsid w:val="009D6F9A"/>
    <w:rsid w:val="009D7304"/>
    <w:rsid w:val="009E70C7"/>
    <w:rsid w:val="00A100E0"/>
    <w:rsid w:val="00A6460D"/>
    <w:rsid w:val="00A74D6A"/>
    <w:rsid w:val="00A82B22"/>
    <w:rsid w:val="00A95CA4"/>
    <w:rsid w:val="00A97A2D"/>
    <w:rsid w:val="00AB73C2"/>
    <w:rsid w:val="00AC49CF"/>
    <w:rsid w:val="00AD16DF"/>
    <w:rsid w:val="00AF7B80"/>
    <w:rsid w:val="00B03450"/>
    <w:rsid w:val="00B20522"/>
    <w:rsid w:val="00B231F3"/>
    <w:rsid w:val="00B23432"/>
    <w:rsid w:val="00B2464A"/>
    <w:rsid w:val="00B27FDA"/>
    <w:rsid w:val="00B427BE"/>
    <w:rsid w:val="00B5707D"/>
    <w:rsid w:val="00B63772"/>
    <w:rsid w:val="00B72163"/>
    <w:rsid w:val="00B72E39"/>
    <w:rsid w:val="00B800C1"/>
    <w:rsid w:val="00B8727A"/>
    <w:rsid w:val="00B9182D"/>
    <w:rsid w:val="00B95D56"/>
    <w:rsid w:val="00BA009F"/>
    <w:rsid w:val="00BA4CDF"/>
    <w:rsid w:val="00BB0B36"/>
    <w:rsid w:val="00BB248E"/>
    <w:rsid w:val="00BE13BC"/>
    <w:rsid w:val="00C01B46"/>
    <w:rsid w:val="00C10126"/>
    <w:rsid w:val="00C170A3"/>
    <w:rsid w:val="00C32E65"/>
    <w:rsid w:val="00C4094C"/>
    <w:rsid w:val="00C4779E"/>
    <w:rsid w:val="00C563DE"/>
    <w:rsid w:val="00C6030F"/>
    <w:rsid w:val="00C63F13"/>
    <w:rsid w:val="00C71357"/>
    <w:rsid w:val="00C739AE"/>
    <w:rsid w:val="00C916D7"/>
    <w:rsid w:val="00C920DE"/>
    <w:rsid w:val="00C92F1B"/>
    <w:rsid w:val="00CB177A"/>
    <w:rsid w:val="00CC4288"/>
    <w:rsid w:val="00CD49A3"/>
    <w:rsid w:val="00CD60A0"/>
    <w:rsid w:val="00CE00F4"/>
    <w:rsid w:val="00CE0AC8"/>
    <w:rsid w:val="00CE221F"/>
    <w:rsid w:val="00D1617B"/>
    <w:rsid w:val="00D27407"/>
    <w:rsid w:val="00D57B76"/>
    <w:rsid w:val="00D60E60"/>
    <w:rsid w:val="00D66A2A"/>
    <w:rsid w:val="00D85C8A"/>
    <w:rsid w:val="00D87BAA"/>
    <w:rsid w:val="00D909BB"/>
    <w:rsid w:val="00D92EB3"/>
    <w:rsid w:val="00D95BB8"/>
    <w:rsid w:val="00DA12A2"/>
    <w:rsid w:val="00DA5091"/>
    <w:rsid w:val="00DA73F6"/>
    <w:rsid w:val="00DC6443"/>
    <w:rsid w:val="00DD137E"/>
    <w:rsid w:val="00DD428A"/>
    <w:rsid w:val="00DF6CD1"/>
    <w:rsid w:val="00DF7D45"/>
    <w:rsid w:val="00E050DD"/>
    <w:rsid w:val="00E11BE4"/>
    <w:rsid w:val="00E31E36"/>
    <w:rsid w:val="00E60612"/>
    <w:rsid w:val="00E661D3"/>
    <w:rsid w:val="00E70C20"/>
    <w:rsid w:val="00E80FF2"/>
    <w:rsid w:val="00E84DA5"/>
    <w:rsid w:val="00E876F7"/>
    <w:rsid w:val="00EA3F2C"/>
    <w:rsid w:val="00EA4AC8"/>
    <w:rsid w:val="00EA6A14"/>
    <w:rsid w:val="00EB6FC9"/>
    <w:rsid w:val="00EB7C73"/>
    <w:rsid w:val="00EC07BF"/>
    <w:rsid w:val="00EC7627"/>
    <w:rsid w:val="00ED2E5E"/>
    <w:rsid w:val="00EE275A"/>
    <w:rsid w:val="00EE48BF"/>
    <w:rsid w:val="00EE6BBF"/>
    <w:rsid w:val="00EF198C"/>
    <w:rsid w:val="00EF4AA4"/>
    <w:rsid w:val="00F0557E"/>
    <w:rsid w:val="00F077E4"/>
    <w:rsid w:val="00F20AA8"/>
    <w:rsid w:val="00F3187E"/>
    <w:rsid w:val="00F354D8"/>
    <w:rsid w:val="00F378C9"/>
    <w:rsid w:val="00F42036"/>
    <w:rsid w:val="00F478A5"/>
    <w:rsid w:val="00F50D05"/>
    <w:rsid w:val="00F5518B"/>
    <w:rsid w:val="00F571CC"/>
    <w:rsid w:val="00F65EE2"/>
    <w:rsid w:val="00F7028E"/>
    <w:rsid w:val="00F76628"/>
    <w:rsid w:val="00F811B7"/>
    <w:rsid w:val="00F825A2"/>
    <w:rsid w:val="00F95766"/>
    <w:rsid w:val="00FD6733"/>
    <w:rsid w:val="00FD7B94"/>
    <w:rsid w:val="00FE3AC0"/>
    <w:rsid w:val="00FF638B"/>
    <w:rsid w:val="02D54A0F"/>
    <w:rsid w:val="0C525842"/>
    <w:rsid w:val="0C611AAB"/>
    <w:rsid w:val="532E08FB"/>
    <w:rsid w:val="5A2D199A"/>
    <w:rsid w:val="5B8E35D6"/>
    <w:rsid w:val="7CD2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8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9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21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next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Times New Roman"/>
      <w:color w:val="000000"/>
      <w:kern w:val="0"/>
      <w:sz w:val="24"/>
      <w:szCs w:val="24"/>
    </w:rPr>
  </w:style>
  <w:style w:type="table" w:styleId="11">
    <w:name w:val="Table Grid"/>
    <w:basedOn w:val="10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3">
    <w:name w:val="Hyperlink"/>
    <w:basedOn w:val="12"/>
    <w:unhideWhenUsed/>
    <w:qFormat/>
    <w:uiPriority w:val="99"/>
    <w:rPr>
      <w:color w:val="0000FF" w:themeColor="hyperlink"/>
      <w:u w:val="single"/>
    </w:rPr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character" w:customStyle="1" w:styleId="16">
    <w:name w:val="标题 1 字符"/>
    <w:basedOn w:val="12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7">
    <w:name w:val="标题 2 字符"/>
    <w:basedOn w:val="12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8">
    <w:name w:val="标题 3 字符"/>
    <w:basedOn w:val="12"/>
    <w:link w:val="4"/>
    <w:qFormat/>
    <w:uiPriority w:val="9"/>
    <w:rPr>
      <w:b/>
      <w:bCs/>
      <w:sz w:val="32"/>
      <w:szCs w:val="32"/>
    </w:rPr>
  </w:style>
  <w:style w:type="character" w:customStyle="1" w:styleId="19">
    <w:name w:val="标题 4 字符"/>
    <w:basedOn w:val="12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paragraph" w:customStyle="1" w:styleId="20">
    <w:name w:val="List Paragraph"/>
    <w:basedOn w:val="1"/>
    <w:qFormat/>
    <w:uiPriority w:val="34"/>
    <w:pPr>
      <w:ind w:firstLine="420" w:firstLineChars="200"/>
    </w:pPr>
  </w:style>
  <w:style w:type="character" w:customStyle="1" w:styleId="21">
    <w:name w:val="批注框文本 字符"/>
    <w:basedOn w:val="12"/>
    <w:link w:val="6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4</Pages>
  <Words>235</Words>
  <Characters>1344</Characters>
  <Lines>11</Lines>
  <Paragraphs>3</Paragraphs>
  <TotalTime>2</TotalTime>
  <ScaleCrop>false</ScaleCrop>
  <LinksUpToDate>false</LinksUpToDate>
  <CharactersWithSpaces>1576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2020-07-03T01:15:00Z</dcterms:created>
  <dc:creator>xz1</dc:creator>
  <cp:lastModifiedBy>1</cp:lastModifiedBy>
  <cp:lastPrinted>2020-03-20T03:24:00Z</cp:lastPrinted>
  <dcterms:modified xsi:type="dcterms:W3CDTF">2025-06-20T09:38:05Z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