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FBC6">
      <w:pPr>
        <w:widowControl/>
        <w:jc w:val="left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采购清单</w:t>
      </w:r>
    </w:p>
    <w:tbl>
      <w:tblPr>
        <w:tblStyle w:val="2"/>
        <w:tblW w:w="8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544"/>
        <w:gridCol w:w="1558"/>
        <w:gridCol w:w="844"/>
        <w:gridCol w:w="995"/>
        <w:gridCol w:w="801"/>
        <w:gridCol w:w="968"/>
        <w:gridCol w:w="1348"/>
      </w:tblGrid>
      <w:tr w14:paraId="7B44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品牌型号</w:t>
            </w:r>
          </w:p>
        </w:tc>
      </w:tr>
      <w:tr w14:paraId="3862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主音箱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58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含支架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7F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5B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F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辅助音箱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E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含支架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BF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21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8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A1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49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B0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6D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D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讲台固定话筒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AC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双咪杆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19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2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FC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A9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音频连接线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T-G1.8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FD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A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8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3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音频连接线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T-FK1.8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07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9B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F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BE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音频连接线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T-P5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00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B1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CD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E9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音箱线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A0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国产优质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B1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02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A5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F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音频线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RVPE2*0.5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BB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25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E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C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1D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06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92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A7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8F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FF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C4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24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0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线路敷设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83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CB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E2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DF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D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设备安装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59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66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D0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E4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30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68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9B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A44CDF0">
      <w:pPr>
        <w:widowControl/>
        <w:jc w:val="left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47B6960D">
      <w:pPr>
        <w:widowControl/>
        <w:jc w:val="left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技术参数：</w:t>
      </w:r>
    </w:p>
    <w:p w14:paraId="71DE4CA5">
      <w:pPr>
        <w:numPr>
          <w:ilvl w:val="0"/>
          <w:numId w:val="1"/>
        </w:numPr>
        <w:spacing w:line="460" w:lineRule="atLeast"/>
        <w:rPr>
          <w:rFonts w:hint="eastAsia" w:asciiTheme="minorEastAsia" w:hAnsiTheme="minorEastAsia"/>
          <w:b/>
          <w:bCs/>
          <w:color w:val="000000"/>
          <w:szCs w:val="21"/>
          <w:lang w:eastAsia="zh-CN"/>
        </w:rPr>
      </w:pPr>
      <w:r>
        <w:rPr>
          <w:rFonts w:hint="eastAsia" w:asciiTheme="minorEastAsia" w:hAnsiTheme="minorEastAsia"/>
          <w:b/>
          <w:bCs/>
          <w:color w:val="000000"/>
          <w:szCs w:val="21"/>
          <w:lang w:eastAsia="zh-CN"/>
        </w:rPr>
        <w:t>主音箱</w:t>
      </w:r>
    </w:p>
    <w:p w14:paraId="569BBDCB">
      <w:pPr>
        <w:numPr>
          <w:ilvl w:val="0"/>
          <w:numId w:val="0"/>
        </w:numPr>
        <w:spacing w:line="460" w:lineRule="atLeast"/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1．阻抗≤8Ω；</w:t>
      </w:r>
    </w:p>
    <w:p w14:paraId="520DA224">
      <w:pPr>
        <w:numPr>
          <w:ilvl w:val="0"/>
          <w:numId w:val="0"/>
        </w:numPr>
        <w:spacing w:line="460" w:lineRule="atLeast"/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2．额定功率≥500W；</w:t>
      </w:r>
    </w:p>
    <w:p w14:paraId="5B960D34">
      <w:pPr>
        <w:numPr>
          <w:ilvl w:val="0"/>
          <w:numId w:val="0"/>
        </w:numPr>
        <w:spacing w:line="460" w:lineRule="atLeast"/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3．灵敏度≥100dB/W/M；</w:t>
      </w:r>
    </w:p>
    <w:p w14:paraId="71882835">
      <w:pPr>
        <w:numPr>
          <w:ilvl w:val="0"/>
          <w:numId w:val="0"/>
        </w:numPr>
        <w:spacing w:line="460" w:lineRule="atLeast"/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4．水平覆盖角≥90°，垂直覆盖角≥80°；</w:t>
      </w:r>
    </w:p>
    <w:p w14:paraId="1EDDDAC6">
      <w:pPr>
        <w:numPr>
          <w:ilvl w:val="0"/>
          <w:numId w:val="0"/>
        </w:numPr>
        <w:spacing w:line="460" w:lineRule="atLeast"/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5．高音≥1.7"，压缩高音单元×1；低音：15"低音×1；</w:t>
      </w:r>
    </w:p>
    <w:p w14:paraId="421C9DEF">
      <w:pPr>
        <w:numPr>
          <w:ilvl w:val="0"/>
          <w:numId w:val="0"/>
        </w:numPr>
        <w:spacing w:line="460" w:lineRule="atLeast"/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6. 频响等同或优于40Hz-20KHz</w:t>
      </w:r>
    </w:p>
    <w:p w14:paraId="025A0636">
      <w:pPr>
        <w:numPr>
          <w:ilvl w:val="0"/>
          <w:numId w:val="1"/>
        </w:numPr>
        <w:spacing w:line="460" w:lineRule="atLeast"/>
        <w:rPr>
          <w:rFonts w:hint="default" w:asciiTheme="minorEastAsia" w:hAnsi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00"/>
          <w:szCs w:val="21"/>
          <w:lang w:val="en-US" w:eastAsia="zh-CN"/>
        </w:rPr>
        <w:t>辅助音箱</w:t>
      </w:r>
    </w:p>
    <w:p w14:paraId="080D0D99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1．阻抗≤8Ω</w:t>
      </w: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；</w:t>
      </w:r>
    </w:p>
    <w:p w14:paraId="3B867B33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2</w:t>
      </w: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．额定功率≥400W</w:t>
      </w: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；</w:t>
      </w:r>
    </w:p>
    <w:p w14:paraId="2261D1F2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3</w:t>
      </w: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．灵敏度≥99dB/W/M</w:t>
      </w: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；</w:t>
      </w:r>
    </w:p>
    <w:p w14:paraId="13156015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4</w:t>
      </w: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．水平覆盖角≥90°，垂直覆盖角≥80°</w:t>
      </w: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；</w:t>
      </w:r>
    </w:p>
    <w:p w14:paraId="3C6A572D">
      <w:pPr>
        <w:numPr>
          <w:ilvl w:val="0"/>
          <w:numId w:val="0"/>
        </w:numPr>
        <w:spacing w:line="460" w:lineRule="atLeast"/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5</w:t>
      </w: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．高音≥1.7"</w:t>
      </w: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，</w:t>
      </w: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压缩高音单元×1；低音：12"低音×1</w:t>
      </w: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>；</w:t>
      </w:r>
    </w:p>
    <w:p w14:paraId="5C3B11DA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000000"/>
          <w:szCs w:val="21"/>
          <w:lang w:val="en-US" w:eastAsia="zh-CN"/>
        </w:rPr>
        <w:t xml:space="preserve">6. </w:t>
      </w: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频响等同或优于45Hz-20KHz</w:t>
      </w:r>
    </w:p>
    <w:p w14:paraId="1376CE20">
      <w:pPr>
        <w:numPr>
          <w:ilvl w:val="0"/>
          <w:numId w:val="1"/>
        </w:numPr>
        <w:spacing w:line="460" w:lineRule="atLeast"/>
        <w:rPr>
          <w:rFonts w:hint="default" w:asciiTheme="minorEastAsia" w:hAnsi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00"/>
          <w:szCs w:val="21"/>
          <w:lang w:val="en-US" w:eastAsia="zh-CN"/>
        </w:rPr>
        <w:t>音频处理器</w:t>
      </w:r>
    </w:p>
    <w:p w14:paraId="6A831C39">
      <w:pPr>
        <w:spacing w:line="400" w:lineRule="exact"/>
        <w:ind w:firstLine="630" w:firstLineChars="3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输入通道支持前级放大、信号发生器、扩展器、压缩器、均衡器（≥12段参量均衡、可选10/15/31段图示均衡器可调，图示均衡器可用于单独调节带宽）、闪避器、AGC自动增益、AM自动混音功能（门限式、增益共享式）、AFC自适应反馈消除、AEC回声消除、ANC噪声消除、音频矩阵；输出通道支持均衡器（≥12段参量均衡、可选10/15/31段图示均衡器可调，图示均衡器可用于单独调节带宽）、延时器、分频器、高低通滤波器、限幅器；基于啸叫检测门限更新法，具有移频+陷波组合反馈抑制，可以使用≥24个可编程陷波点，可自由分配动态/静态点，自动/手动切换。</w:t>
      </w:r>
    </w:p>
    <w:p w14:paraId="387E8FB5">
      <w:pPr>
        <w:numPr>
          <w:ilvl w:val="0"/>
          <w:numId w:val="1"/>
        </w:numPr>
        <w:spacing w:line="460" w:lineRule="atLeast"/>
        <w:rPr>
          <w:rFonts w:hint="default" w:asciiTheme="minorEastAsia" w:hAnsi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00"/>
          <w:szCs w:val="21"/>
          <w:lang w:val="en-US" w:eastAsia="zh-CN"/>
        </w:rPr>
        <w:t>讲台固定话筒</w:t>
      </w:r>
    </w:p>
    <w:p w14:paraId="40141E89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 xml:space="preserve">1.换能方式：电容式 </w:t>
      </w:r>
    </w:p>
    <w:p w14:paraId="54E6D56F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2.咪杆数量：双咪杆</w:t>
      </w:r>
    </w:p>
    <w:p w14:paraId="5D37007A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3.频率响应等同或优于50Hz-18kHz</w:t>
      </w:r>
    </w:p>
    <w:p w14:paraId="4D41BB5D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 xml:space="preserve">4.指向性：超心型指向 </w:t>
      </w:r>
    </w:p>
    <w:p w14:paraId="74B27BA9">
      <w:pPr>
        <w:numPr>
          <w:ilvl w:val="0"/>
          <w:numId w:val="0"/>
        </w:numPr>
        <w:spacing w:line="460" w:lineRule="atLeast"/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000000"/>
          <w:szCs w:val="21"/>
          <w:lang w:val="en-US" w:eastAsia="zh-CN"/>
        </w:rPr>
        <w:t>5.输出阻抗（欧姆）：≤1200Ω平衡</w:t>
      </w:r>
    </w:p>
    <w:p w14:paraId="080152BD">
      <w:pPr>
        <w:spacing w:line="400" w:lineRule="exact"/>
        <w:rPr>
          <w:rFonts w:hint="eastAsia" w:asciiTheme="minorEastAsia" w:hAnsiTheme="minorEastAsia"/>
          <w:szCs w:val="21"/>
        </w:rPr>
      </w:pPr>
    </w:p>
    <w:p w14:paraId="2431A934">
      <w:pPr>
        <w:spacing w:line="400" w:lineRule="exact"/>
        <w:rPr>
          <w:rFonts w:asciiTheme="minorEastAsia" w:hAnsiTheme="minorEastAsia"/>
          <w:szCs w:val="21"/>
        </w:rPr>
      </w:pPr>
    </w:p>
    <w:p w14:paraId="20CA56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08A803-F876-4C0D-A806-DFB3577E39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DC2AFA1-4F9A-48F5-B0DE-BF42F89124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466504-E150-481E-B7E5-88307FA39A0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CDFDDB"/>
    <w:multiLevelType w:val="singleLevel"/>
    <w:tmpl w:val="67CDFD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74466"/>
    <w:rsid w:val="7077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2025-07-02T00:19:00Z</dcterms:created>
  <dc:creator>雅雯</dc:creator>
  <cp:lastModifiedBy>雅雯</cp:lastModifiedBy>
  <dcterms:modified xsi:type="dcterms:W3CDTF">2025-07-02T00:20:33Z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CD854C9BB92F492495702AAD69836AEE_11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