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 w:ascii="宋体" w:eastAsia="宋体"/>
          <w:lang w:val="en-US" w:eastAsia="zh-CN"/>
        </w:rPr>
      </w:pPr>
      <w:r>
        <w:rPr>
          <w:rFonts w:hint="eastAsia" w:ascii="宋体" w:hAnsi="宋体"/>
        </w:rPr>
        <w:t>中山市中医院2025年-2028年律师服务项目</w:t>
      </w:r>
      <w:r>
        <w:rPr>
          <w:rFonts w:hint="eastAsia" w:ascii="宋体" w:hAnsi="宋体"/>
          <w:lang w:val="en-US" w:eastAsia="zh-CN"/>
        </w:rPr>
        <w:t>需求</w:t>
      </w:r>
      <w:bookmarkStart w:id="0" w:name="_GoBack"/>
      <w:bookmarkEnd w:id="0"/>
    </w:p>
    <w:p>
      <w:pPr>
        <w:spacing w:line="380" w:lineRule="exact"/>
        <w:ind w:left="420"/>
        <w:rPr>
          <w:rFonts w:ascii="宋体"/>
          <w:b/>
          <w:szCs w:val="21"/>
        </w:rPr>
      </w:pPr>
      <w:r>
        <w:rPr>
          <w:rFonts w:hint="eastAsia" w:ascii="宋体" w:hAnsi="宋体"/>
          <w:b/>
          <w:bCs/>
          <w:szCs w:val="21"/>
        </w:rPr>
        <w:t>一、</w:t>
      </w:r>
      <w:r>
        <w:rPr>
          <w:rFonts w:hint="eastAsia" w:ascii="宋体" w:hAnsi="宋体"/>
          <w:b/>
          <w:szCs w:val="21"/>
        </w:rPr>
        <w:t>项目概况</w:t>
      </w:r>
    </w:p>
    <w:p>
      <w:pPr>
        <w:spacing w:line="380" w:lineRule="exact"/>
        <w:ind w:left="420"/>
        <w:rPr>
          <w:rFonts w:ascii="宋体"/>
          <w:bCs/>
          <w:szCs w:val="21"/>
        </w:rPr>
      </w:pPr>
      <w:r>
        <w:rPr>
          <w:rFonts w:ascii="宋体" w:hAnsi="宋体"/>
          <w:bCs/>
          <w:szCs w:val="21"/>
        </w:rPr>
        <w:t>1</w:t>
      </w:r>
      <w:r>
        <w:rPr>
          <w:rFonts w:hint="eastAsia" w:ascii="宋体" w:hAnsi="宋体"/>
          <w:bCs/>
          <w:szCs w:val="21"/>
        </w:rPr>
        <w:t>、项目名称：</w:t>
      </w:r>
      <w:r>
        <w:rPr>
          <w:rFonts w:hint="eastAsia" w:ascii="宋体" w:hAnsi="宋体"/>
        </w:rPr>
        <w:t>中山市中医院</w:t>
      </w:r>
      <w:r>
        <w:rPr>
          <w:rFonts w:hint="eastAsia" w:ascii="宋体" w:hAnsi="宋体" w:cs="仿宋_GB2312"/>
          <w:szCs w:val="21"/>
        </w:rPr>
        <w:t>2025年-2028年律师</w:t>
      </w:r>
      <w:r>
        <w:rPr>
          <w:rFonts w:hint="eastAsia" w:ascii="宋体" w:hAnsi="宋体"/>
        </w:rPr>
        <w:t>服务项目</w:t>
      </w:r>
    </w:p>
    <w:p>
      <w:pPr>
        <w:spacing w:line="380" w:lineRule="exact"/>
        <w:ind w:firstLine="420" w:firstLineChars="200"/>
        <w:rPr>
          <w:rFonts w:ascii="宋体" w:hAnsi="宋体" w:cs="仿宋_GB2312"/>
          <w:color w:val="FF000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hint="eastAsia" w:ascii="宋体" w:hAnsi="宋体" w:cs="宋体"/>
          <w:color w:val="000000"/>
          <w:kern w:val="0"/>
          <w:szCs w:val="21"/>
        </w:rPr>
        <w:t>、项</w:t>
      </w:r>
      <w:r>
        <w:rPr>
          <w:rFonts w:hint="eastAsia" w:ascii="宋体" w:hAnsi="宋体" w:cs="宋体"/>
          <w:kern w:val="0"/>
          <w:szCs w:val="21"/>
        </w:rPr>
        <w:t>目内容：医院拟</w:t>
      </w:r>
      <w:r>
        <w:rPr>
          <w:rFonts w:hint="eastAsia" w:ascii="宋体" w:hAnsi="宋体" w:cs="仿宋_GB2312"/>
          <w:szCs w:val="21"/>
        </w:rPr>
        <w:t>委托一家律师事务所，通过相关法律途径，协助医院进行维权清收经医院合理催告仍无法清收的医疗欠款。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ascii="宋体" w:hAnsi="宋体" w:cs="仿宋_GB2312"/>
          <w:szCs w:val="21"/>
        </w:rPr>
        <w:t>3</w:t>
      </w:r>
      <w:r>
        <w:rPr>
          <w:rFonts w:hint="eastAsia" w:ascii="宋体" w:hAnsi="宋体" w:cs="仿宋_GB2312"/>
          <w:szCs w:val="21"/>
        </w:rPr>
        <w:t>、预算金额：80000元</w:t>
      </w:r>
    </w:p>
    <w:p>
      <w:pPr>
        <w:widowControl/>
        <w:tabs>
          <w:tab w:val="left" w:pos="424"/>
        </w:tabs>
        <w:spacing w:line="38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4</w:t>
      </w:r>
      <w:r>
        <w:rPr>
          <w:rFonts w:hint="eastAsia" w:ascii="宋体" w:hAnsi="宋体" w:cs="宋体"/>
          <w:kern w:val="0"/>
          <w:szCs w:val="21"/>
        </w:rPr>
        <w:t>、服务期：3年</w:t>
      </w:r>
    </w:p>
    <w:p>
      <w:pPr>
        <w:widowControl/>
        <w:tabs>
          <w:tab w:val="left" w:pos="424"/>
        </w:tabs>
        <w:spacing w:line="38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5、服务商</w:t>
      </w:r>
      <w:r>
        <w:rPr>
          <w:rFonts w:hint="eastAsia"/>
          <w:szCs w:val="21"/>
        </w:rPr>
        <w:t>须具备广东省政府采购智慧云平台电子卖场供应商资质。</w:t>
      </w:r>
    </w:p>
    <w:p>
      <w:pPr>
        <w:spacing w:line="380" w:lineRule="exact"/>
        <w:ind w:firstLine="422" w:firstLineChars="200"/>
        <w:rPr>
          <w:b/>
          <w:szCs w:val="21"/>
        </w:rPr>
      </w:pPr>
      <w:r>
        <w:rPr>
          <w:rFonts w:hint="eastAsia"/>
          <w:b/>
          <w:szCs w:val="21"/>
        </w:rPr>
        <w:t>二、服务内容及要求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ascii="宋体" w:hAnsi="宋体" w:cs="仿宋_GB2312"/>
          <w:szCs w:val="21"/>
        </w:rPr>
        <w:t>1</w:t>
      </w:r>
      <w:r>
        <w:rPr>
          <w:rFonts w:hint="eastAsia" w:ascii="宋体" w:hAnsi="宋体" w:cs="仿宋_GB2312"/>
          <w:szCs w:val="21"/>
        </w:rPr>
        <w:t>、服务商为采购人免费提供医疗欠款方面的法律咨询、建议。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2、服务商根据具体情况，向欠费人员及连带责任人员发送催收律师函。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3、服务商根据具体情况，对欠费人员及连带责任人员提起诉讼，追索所欠医疗费用。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4、法院诉讼费用须由服务商先行垫付，按</w:t>
      </w:r>
      <w:r>
        <w:rPr>
          <w:rFonts w:hint="eastAsia" w:ascii="宋体" w:hAnsi="宋体" w:cs="仿宋_GB2312"/>
          <w:color w:val="auto"/>
          <w:szCs w:val="21"/>
        </w:rPr>
        <w:t>季</w:t>
      </w:r>
      <w:r>
        <w:rPr>
          <w:rFonts w:hint="eastAsia" w:ascii="宋体" w:hAnsi="宋体" w:cs="仿宋_GB2312"/>
          <w:color w:val="auto"/>
          <w:szCs w:val="21"/>
          <w:lang w:eastAsia="zh-CN"/>
        </w:rPr>
        <w:t>度</w:t>
      </w:r>
      <w:r>
        <w:rPr>
          <w:rFonts w:hint="eastAsia" w:ascii="宋体" w:hAnsi="宋体" w:cs="仿宋_GB2312"/>
          <w:szCs w:val="21"/>
        </w:rPr>
        <w:t>凭诉讼费发票向采购人结算。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5、追索医疗费用案件，法院工作人员及代理人出差外市、外省进行办案或执行的差旅费、住宿费、交通费等费用由服务商承担。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6、对不涉及医疗费的其他案件或由社保基金结付款项的案件，代理人出差外市、外省进行办案的差旅费、住宿费、交通费等费用由采购人承担。</w:t>
      </w:r>
    </w:p>
    <w:p>
      <w:pPr>
        <w:spacing w:line="380" w:lineRule="exact"/>
        <w:ind w:left="315" w:leftChars="150" w:firstLine="97" w:firstLineChars="46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三、报价要求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1、中山市内办结(含审判或执行)的案件，服务费用不高于实际收回金额的</w:t>
      </w:r>
      <w:r>
        <w:rPr>
          <w:rFonts w:ascii="宋体" w:hAnsi="宋体" w:cs="仿宋_GB2312"/>
          <w:szCs w:val="21"/>
        </w:rPr>
        <w:t>8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2、广东省内中山市外办结(含审判或执行)的案件，服务费用不高于实际收回金额的1</w:t>
      </w:r>
      <w:r>
        <w:rPr>
          <w:rFonts w:hint="eastAsia" w:ascii="宋体" w:hAnsi="宋体" w:cs="仿宋_GB2312"/>
          <w:szCs w:val="21"/>
          <w:lang w:val="en-US" w:eastAsia="zh-CN"/>
        </w:rPr>
        <w:t>2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3、广东省外办结(含审判或执行)的案件，服务费用不高于实际收回金额的</w:t>
      </w:r>
      <w:r>
        <w:rPr>
          <w:rFonts w:hint="eastAsia" w:ascii="宋体" w:hAnsi="宋体" w:cs="仿宋_GB2312"/>
          <w:szCs w:val="21"/>
          <w:lang w:val="en-US" w:eastAsia="zh-CN"/>
        </w:rPr>
        <w:t>16</w:t>
      </w:r>
      <w:r>
        <w:rPr>
          <w:rFonts w:hint="eastAsia" w:ascii="宋体" w:hAnsi="宋体" w:cs="仿宋_GB2312"/>
          <w:szCs w:val="21"/>
        </w:rPr>
        <w:t>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4、以上情形下,若追索的欠费为社保基金结付的款项，服务费用不高于实际收回金额的</w:t>
      </w:r>
      <w:r>
        <w:rPr>
          <w:rFonts w:hint="eastAsia" w:ascii="宋体" w:hAnsi="宋体" w:cs="仿宋_GB2312"/>
          <w:szCs w:val="21"/>
          <w:lang w:val="en-US" w:eastAsia="zh-CN"/>
        </w:rPr>
        <w:t>3.</w:t>
      </w:r>
      <w:r>
        <w:rPr>
          <w:rFonts w:hint="eastAsia" w:ascii="宋体" w:hAnsi="宋体" w:cs="仿宋_GB2312"/>
          <w:szCs w:val="21"/>
        </w:rPr>
        <w:t>5%。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5、不涉及医疗费的其他案件，服务费用不高于</w:t>
      </w:r>
      <w:r>
        <w:rPr>
          <w:rFonts w:ascii="宋体" w:hAnsi="宋体" w:cs="仿宋_GB2312"/>
          <w:szCs w:val="21"/>
        </w:rPr>
        <w:t>2400</w:t>
      </w:r>
      <w:r>
        <w:rPr>
          <w:rFonts w:hint="eastAsia" w:ascii="宋体" w:hAnsi="宋体" w:cs="仿宋_GB2312"/>
          <w:szCs w:val="21"/>
        </w:rPr>
        <w:t>元/件。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★6、除以上第5条外，其他情况均不支付基础费用，服务商根据实际收回的金额按比例收取提成。</w:t>
      </w:r>
    </w:p>
    <w:p>
      <w:pPr>
        <w:spacing w:line="380" w:lineRule="exact"/>
        <w:ind w:left="315" w:leftChars="150" w:firstLine="97" w:firstLineChars="46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四、付款方式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1、法院诉讼费用待每次案件结束后，服务商提交诉讼费正规发票，采购人收到后60个自然日内支付相应费用。</w:t>
      </w:r>
    </w:p>
    <w:p>
      <w:pPr>
        <w:spacing w:line="380" w:lineRule="exact"/>
        <w:ind w:firstLine="420" w:firstLineChars="200"/>
        <w:rPr>
          <w:rFonts w:ascii="宋体" w:hAnsi="宋体" w:cs="仿宋_GB2312"/>
          <w:szCs w:val="21"/>
        </w:rPr>
      </w:pPr>
      <w:r>
        <w:rPr>
          <w:rFonts w:hint="eastAsia" w:ascii="宋体" w:hAnsi="宋体" w:cs="仿宋_GB2312"/>
          <w:szCs w:val="21"/>
        </w:rPr>
        <w:t>2、服务商根据每次实际收回的金额，按合同附件约定的比例收取服务费。待甲方财务管理部门确认款项到账后，乙方按合同附件约定的服务费收取比例开具相应金额的正规发票，甲方收到后60个自然日内支付相应费用。</w:t>
      </w:r>
    </w:p>
    <w:p>
      <w:pPr>
        <w:widowControl/>
        <w:jc w:val="left"/>
        <w:rPr>
          <w:sz w:val="28"/>
        </w:rPr>
      </w:pPr>
    </w:p>
    <w:p>
      <w:pPr>
        <w:widowControl/>
        <w:ind w:firstLine="420"/>
        <w:jc w:val="left"/>
      </w:pPr>
    </w:p>
    <w:p>
      <w:pPr>
        <w:widowControl/>
        <w:ind w:firstLine="420"/>
        <w:jc w:val="left"/>
      </w:pPr>
    </w:p>
    <w:p>
      <w:pPr>
        <w:widowControl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cs="宋体"/>
          <w:bCs/>
          <w:color w:val="000000"/>
          <w:kern w:val="0"/>
          <w:sz w:val="24"/>
          <w:szCs w:val="24"/>
        </w:rPr>
        <w:t>附件：</w:t>
      </w:r>
    </w:p>
    <w:p>
      <w:pPr>
        <w:widowControl/>
        <w:jc w:val="center"/>
        <w:rPr>
          <w:rFonts w:ascii="宋体" w:cs="宋体"/>
          <w:bCs/>
          <w:color w:val="000000"/>
          <w:kern w:val="0"/>
          <w:sz w:val="30"/>
          <w:szCs w:val="30"/>
        </w:rPr>
      </w:pPr>
      <w:r>
        <w:rPr>
          <w:rFonts w:hint="eastAsia" w:ascii="宋体" w:cs="宋体"/>
          <w:bCs/>
          <w:color w:val="000000"/>
          <w:kern w:val="0"/>
          <w:sz w:val="30"/>
          <w:szCs w:val="30"/>
        </w:rPr>
        <w:t>项目报价单</w:t>
      </w:r>
    </w:p>
    <w:tbl>
      <w:tblPr>
        <w:tblStyle w:val="12"/>
        <w:tblW w:w="82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867"/>
        <w:gridCol w:w="1841"/>
        <w:gridCol w:w="1403"/>
        <w:gridCol w:w="14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案件类型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服务限价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服务商报价</w:t>
            </w: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67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cs="仿宋_GB2312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在中山市内办结(含审判或执行)的自费案件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价格评分时，本项占比35%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广东省内中山市外办结(含审判或执行)的自费案件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服务费用不高于实际收回金额的1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广东省外办结(含审判或执行)的自费案件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以上情形下,若追索的欠费为社保基金结付的款项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服务费用不高于实际收回金额的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5%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价格评分时，本项占比35%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2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6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不涉及医疗费的其他案件</w:t>
            </w:r>
          </w:p>
        </w:tc>
        <w:tc>
          <w:tcPr>
            <w:tcW w:w="1841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sz w:val="18"/>
                <w:szCs w:val="18"/>
              </w:rPr>
              <w:t>服务费用不高于</w:t>
            </w:r>
            <w:r>
              <w:rPr>
                <w:rFonts w:hint="eastAsia" w:ascii="宋体" w:hAnsi="宋体" w:cs="仿宋_GB2312"/>
                <w:sz w:val="18"/>
                <w:szCs w:val="18"/>
                <w:lang w:val="en-US" w:eastAsia="zh-CN"/>
              </w:rPr>
              <w:t>2400</w:t>
            </w:r>
            <w:r>
              <w:rPr>
                <w:rFonts w:hint="eastAsia" w:ascii="宋体" w:hAnsi="宋体" w:cs="仿宋_GB2312"/>
                <w:sz w:val="18"/>
                <w:szCs w:val="18"/>
              </w:rPr>
              <w:t>元/件</w:t>
            </w:r>
          </w:p>
        </w:tc>
        <w:tc>
          <w:tcPr>
            <w:tcW w:w="14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Cs/>
                <w:color w:val="000000"/>
                <w:kern w:val="0"/>
                <w:sz w:val="18"/>
                <w:szCs w:val="18"/>
              </w:rPr>
              <w:t>价格评分时，本项占比10%</w:t>
            </w:r>
          </w:p>
        </w:tc>
      </w:tr>
    </w:tbl>
    <w:p>
      <w:pPr>
        <w:widowControl/>
        <w:rPr>
          <w:rFonts w:ascii="宋体" w:cs="宋体"/>
          <w:bCs/>
          <w:color w:val="000000"/>
          <w:kern w:val="0"/>
          <w:szCs w:val="21"/>
        </w:rPr>
      </w:pPr>
    </w:p>
    <w:p>
      <w:pPr>
        <w:widowControl/>
        <w:rPr>
          <w:rFonts w:ascii="宋体" w:cs="宋体"/>
          <w:bCs/>
          <w:color w:val="000000"/>
          <w:kern w:val="0"/>
          <w:szCs w:val="21"/>
        </w:rPr>
      </w:pPr>
      <w:r>
        <w:rPr>
          <w:rFonts w:hint="eastAsia" w:ascii="宋体" w:cs="宋体"/>
          <w:bCs/>
          <w:color w:val="000000"/>
          <w:kern w:val="0"/>
          <w:szCs w:val="21"/>
        </w:rPr>
        <w:t>注：按以往经验，中山市内执行的案件比例较高。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384B"/>
    <w:rsid w:val="00012E8F"/>
    <w:rsid w:val="00025C66"/>
    <w:rsid w:val="00031220"/>
    <w:rsid w:val="0003131D"/>
    <w:rsid w:val="00031681"/>
    <w:rsid w:val="00041A9B"/>
    <w:rsid w:val="00055BB0"/>
    <w:rsid w:val="00063F48"/>
    <w:rsid w:val="00065209"/>
    <w:rsid w:val="000656F0"/>
    <w:rsid w:val="00084535"/>
    <w:rsid w:val="00086879"/>
    <w:rsid w:val="00090F08"/>
    <w:rsid w:val="000A075D"/>
    <w:rsid w:val="000A2CDB"/>
    <w:rsid w:val="000B0AF5"/>
    <w:rsid w:val="000B1B61"/>
    <w:rsid w:val="000B5AEC"/>
    <w:rsid w:val="000B733E"/>
    <w:rsid w:val="000B7596"/>
    <w:rsid w:val="000C1A22"/>
    <w:rsid w:val="000C296F"/>
    <w:rsid w:val="000C3976"/>
    <w:rsid w:val="000C44AD"/>
    <w:rsid w:val="000C6632"/>
    <w:rsid w:val="000D0B76"/>
    <w:rsid w:val="000D7FC1"/>
    <w:rsid w:val="000E2ED3"/>
    <w:rsid w:val="000F2381"/>
    <w:rsid w:val="0011735E"/>
    <w:rsid w:val="001317B0"/>
    <w:rsid w:val="0013287F"/>
    <w:rsid w:val="001417C1"/>
    <w:rsid w:val="00161782"/>
    <w:rsid w:val="001670C9"/>
    <w:rsid w:val="00173427"/>
    <w:rsid w:val="001771EA"/>
    <w:rsid w:val="001802D0"/>
    <w:rsid w:val="0018440E"/>
    <w:rsid w:val="001A67F5"/>
    <w:rsid w:val="001B0007"/>
    <w:rsid w:val="001B392C"/>
    <w:rsid w:val="001D1CAB"/>
    <w:rsid w:val="001D7351"/>
    <w:rsid w:val="001E2CA0"/>
    <w:rsid w:val="001E32BE"/>
    <w:rsid w:val="001E62EF"/>
    <w:rsid w:val="001F0D7C"/>
    <w:rsid w:val="001F5C19"/>
    <w:rsid w:val="001F63E1"/>
    <w:rsid w:val="001F7C64"/>
    <w:rsid w:val="001F7CCB"/>
    <w:rsid w:val="0020158A"/>
    <w:rsid w:val="00211407"/>
    <w:rsid w:val="00216B47"/>
    <w:rsid w:val="00216C46"/>
    <w:rsid w:val="00223CFE"/>
    <w:rsid w:val="00225831"/>
    <w:rsid w:val="00231BC5"/>
    <w:rsid w:val="002336B8"/>
    <w:rsid w:val="00236BCD"/>
    <w:rsid w:val="002403A4"/>
    <w:rsid w:val="002403DE"/>
    <w:rsid w:val="0024152D"/>
    <w:rsid w:val="00256617"/>
    <w:rsid w:val="002656D7"/>
    <w:rsid w:val="00267BB1"/>
    <w:rsid w:val="00271584"/>
    <w:rsid w:val="00271DE1"/>
    <w:rsid w:val="002722E1"/>
    <w:rsid w:val="00273CC1"/>
    <w:rsid w:val="002852D0"/>
    <w:rsid w:val="002919AD"/>
    <w:rsid w:val="002945AA"/>
    <w:rsid w:val="00297A6F"/>
    <w:rsid w:val="002A233D"/>
    <w:rsid w:val="002B3293"/>
    <w:rsid w:val="002B7B52"/>
    <w:rsid w:val="002C0A7E"/>
    <w:rsid w:val="002C1A9D"/>
    <w:rsid w:val="002E14A6"/>
    <w:rsid w:val="002F47EE"/>
    <w:rsid w:val="002F663A"/>
    <w:rsid w:val="002F6FF8"/>
    <w:rsid w:val="00300D04"/>
    <w:rsid w:val="0030102E"/>
    <w:rsid w:val="003013A1"/>
    <w:rsid w:val="0030175E"/>
    <w:rsid w:val="00302215"/>
    <w:rsid w:val="00303417"/>
    <w:rsid w:val="00316432"/>
    <w:rsid w:val="003171F2"/>
    <w:rsid w:val="0032265C"/>
    <w:rsid w:val="00324217"/>
    <w:rsid w:val="00327E6E"/>
    <w:rsid w:val="00332B2A"/>
    <w:rsid w:val="00334C99"/>
    <w:rsid w:val="003415F0"/>
    <w:rsid w:val="00341E54"/>
    <w:rsid w:val="00342127"/>
    <w:rsid w:val="00347319"/>
    <w:rsid w:val="003675A4"/>
    <w:rsid w:val="00372058"/>
    <w:rsid w:val="003727E8"/>
    <w:rsid w:val="00374C0B"/>
    <w:rsid w:val="00375002"/>
    <w:rsid w:val="0037509F"/>
    <w:rsid w:val="00377A77"/>
    <w:rsid w:val="00382F6B"/>
    <w:rsid w:val="00385202"/>
    <w:rsid w:val="00385569"/>
    <w:rsid w:val="00391406"/>
    <w:rsid w:val="003974BF"/>
    <w:rsid w:val="003A1421"/>
    <w:rsid w:val="003B152A"/>
    <w:rsid w:val="003B233E"/>
    <w:rsid w:val="003B3C9F"/>
    <w:rsid w:val="003B3E9D"/>
    <w:rsid w:val="003B73C1"/>
    <w:rsid w:val="003C3049"/>
    <w:rsid w:val="003C3562"/>
    <w:rsid w:val="003C734F"/>
    <w:rsid w:val="003D1941"/>
    <w:rsid w:val="003D7FB4"/>
    <w:rsid w:val="003E755C"/>
    <w:rsid w:val="003F296C"/>
    <w:rsid w:val="00400646"/>
    <w:rsid w:val="004047DA"/>
    <w:rsid w:val="00405F10"/>
    <w:rsid w:val="00411234"/>
    <w:rsid w:val="00414EF7"/>
    <w:rsid w:val="0041509F"/>
    <w:rsid w:val="00431CAB"/>
    <w:rsid w:val="00434FEE"/>
    <w:rsid w:val="00441AE4"/>
    <w:rsid w:val="00443012"/>
    <w:rsid w:val="0044319A"/>
    <w:rsid w:val="004537DB"/>
    <w:rsid w:val="00453E9F"/>
    <w:rsid w:val="004551CA"/>
    <w:rsid w:val="00455EFF"/>
    <w:rsid w:val="00460841"/>
    <w:rsid w:val="00464646"/>
    <w:rsid w:val="00465AC6"/>
    <w:rsid w:val="00475B01"/>
    <w:rsid w:val="004771BA"/>
    <w:rsid w:val="00481EE0"/>
    <w:rsid w:val="00482FAC"/>
    <w:rsid w:val="004952F9"/>
    <w:rsid w:val="00496B3E"/>
    <w:rsid w:val="00496CA3"/>
    <w:rsid w:val="004A077E"/>
    <w:rsid w:val="004A4D88"/>
    <w:rsid w:val="004A5F17"/>
    <w:rsid w:val="004A7685"/>
    <w:rsid w:val="004B1614"/>
    <w:rsid w:val="004B3772"/>
    <w:rsid w:val="004C0D19"/>
    <w:rsid w:val="004C2582"/>
    <w:rsid w:val="004D0604"/>
    <w:rsid w:val="004D2090"/>
    <w:rsid w:val="004D6B9C"/>
    <w:rsid w:val="004E27E9"/>
    <w:rsid w:val="004E6067"/>
    <w:rsid w:val="00511413"/>
    <w:rsid w:val="0051212A"/>
    <w:rsid w:val="00512817"/>
    <w:rsid w:val="00512E07"/>
    <w:rsid w:val="00515C38"/>
    <w:rsid w:val="00516B09"/>
    <w:rsid w:val="00522C66"/>
    <w:rsid w:val="00526037"/>
    <w:rsid w:val="00526C22"/>
    <w:rsid w:val="0053106E"/>
    <w:rsid w:val="00535756"/>
    <w:rsid w:val="00541A8B"/>
    <w:rsid w:val="0054218F"/>
    <w:rsid w:val="005426E6"/>
    <w:rsid w:val="005547F1"/>
    <w:rsid w:val="00554A7C"/>
    <w:rsid w:val="0055660F"/>
    <w:rsid w:val="00557841"/>
    <w:rsid w:val="00557AF4"/>
    <w:rsid w:val="00560B74"/>
    <w:rsid w:val="005640EB"/>
    <w:rsid w:val="005655F7"/>
    <w:rsid w:val="00571530"/>
    <w:rsid w:val="00574364"/>
    <w:rsid w:val="005834CE"/>
    <w:rsid w:val="0058370D"/>
    <w:rsid w:val="00590133"/>
    <w:rsid w:val="00590B17"/>
    <w:rsid w:val="00596D2B"/>
    <w:rsid w:val="005A1F7A"/>
    <w:rsid w:val="005A3017"/>
    <w:rsid w:val="005A5AEC"/>
    <w:rsid w:val="005A74F3"/>
    <w:rsid w:val="005C4129"/>
    <w:rsid w:val="005C6397"/>
    <w:rsid w:val="005D6032"/>
    <w:rsid w:val="005E358C"/>
    <w:rsid w:val="005E722B"/>
    <w:rsid w:val="005F175A"/>
    <w:rsid w:val="005F284E"/>
    <w:rsid w:val="006001ED"/>
    <w:rsid w:val="00602992"/>
    <w:rsid w:val="00603D99"/>
    <w:rsid w:val="006112E3"/>
    <w:rsid w:val="0061174C"/>
    <w:rsid w:val="0062419F"/>
    <w:rsid w:val="00625AA1"/>
    <w:rsid w:val="00644395"/>
    <w:rsid w:val="00646BA6"/>
    <w:rsid w:val="00651E40"/>
    <w:rsid w:val="00653F01"/>
    <w:rsid w:val="00670DE0"/>
    <w:rsid w:val="00676949"/>
    <w:rsid w:val="006804F5"/>
    <w:rsid w:val="00681F42"/>
    <w:rsid w:val="0068524D"/>
    <w:rsid w:val="0069037A"/>
    <w:rsid w:val="006946A9"/>
    <w:rsid w:val="006959BB"/>
    <w:rsid w:val="0069700D"/>
    <w:rsid w:val="00697BFB"/>
    <w:rsid w:val="006A37A7"/>
    <w:rsid w:val="006A3F2E"/>
    <w:rsid w:val="006C09BC"/>
    <w:rsid w:val="006C36D4"/>
    <w:rsid w:val="006C395A"/>
    <w:rsid w:val="006C4B2E"/>
    <w:rsid w:val="006C60BB"/>
    <w:rsid w:val="006C7AC3"/>
    <w:rsid w:val="006E0CBB"/>
    <w:rsid w:val="006E384B"/>
    <w:rsid w:val="006E4823"/>
    <w:rsid w:val="006E5D64"/>
    <w:rsid w:val="006F6C20"/>
    <w:rsid w:val="006F7DA9"/>
    <w:rsid w:val="007109D8"/>
    <w:rsid w:val="00722429"/>
    <w:rsid w:val="0072375C"/>
    <w:rsid w:val="00723BD5"/>
    <w:rsid w:val="0073541F"/>
    <w:rsid w:val="007471F8"/>
    <w:rsid w:val="007553E3"/>
    <w:rsid w:val="00757474"/>
    <w:rsid w:val="00761A5E"/>
    <w:rsid w:val="00770808"/>
    <w:rsid w:val="0078608E"/>
    <w:rsid w:val="00790422"/>
    <w:rsid w:val="00792278"/>
    <w:rsid w:val="0079495A"/>
    <w:rsid w:val="00797889"/>
    <w:rsid w:val="007A1EDA"/>
    <w:rsid w:val="007A3B38"/>
    <w:rsid w:val="007A4C9C"/>
    <w:rsid w:val="007B013F"/>
    <w:rsid w:val="007B33A7"/>
    <w:rsid w:val="007C1F19"/>
    <w:rsid w:val="007D19AB"/>
    <w:rsid w:val="008027AE"/>
    <w:rsid w:val="00806DEF"/>
    <w:rsid w:val="00806FA0"/>
    <w:rsid w:val="00811D7A"/>
    <w:rsid w:val="0082713B"/>
    <w:rsid w:val="00832C0E"/>
    <w:rsid w:val="008355E9"/>
    <w:rsid w:val="00836A9A"/>
    <w:rsid w:val="0084028C"/>
    <w:rsid w:val="008420AC"/>
    <w:rsid w:val="00842A59"/>
    <w:rsid w:val="008454C3"/>
    <w:rsid w:val="00850320"/>
    <w:rsid w:val="008605E2"/>
    <w:rsid w:val="00862B90"/>
    <w:rsid w:val="00866831"/>
    <w:rsid w:val="00867370"/>
    <w:rsid w:val="0087575A"/>
    <w:rsid w:val="00890450"/>
    <w:rsid w:val="00893A4F"/>
    <w:rsid w:val="00894532"/>
    <w:rsid w:val="00896D3B"/>
    <w:rsid w:val="008A4B79"/>
    <w:rsid w:val="008B08B3"/>
    <w:rsid w:val="008B4550"/>
    <w:rsid w:val="008C0334"/>
    <w:rsid w:val="008C4B6B"/>
    <w:rsid w:val="008E589B"/>
    <w:rsid w:val="008F20C0"/>
    <w:rsid w:val="00902BD0"/>
    <w:rsid w:val="009122E4"/>
    <w:rsid w:val="009123EC"/>
    <w:rsid w:val="00921CDF"/>
    <w:rsid w:val="009229B8"/>
    <w:rsid w:val="00926CB2"/>
    <w:rsid w:val="00932552"/>
    <w:rsid w:val="0093721A"/>
    <w:rsid w:val="00941B7F"/>
    <w:rsid w:val="00961ED6"/>
    <w:rsid w:val="00966D13"/>
    <w:rsid w:val="009708C2"/>
    <w:rsid w:val="00980009"/>
    <w:rsid w:val="0098368E"/>
    <w:rsid w:val="0098457D"/>
    <w:rsid w:val="0098731F"/>
    <w:rsid w:val="00994317"/>
    <w:rsid w:val="009A09B6"/>
    <w:rsid w:val="009A6108"/>
    <w:rsid w:val="009B451C"/>
    <w:rsid w:val="009B51D1"/>
    <w:rsid w:val="009B5C9A"/>
    <w:rsid w:val="009C30A4"/>
    <w:rsid w:val="009C6FAF"/>
    <w:rsid w:val="009D064B"/>
    <w:rsid w:val="009D28F8"/>
    <w:rsid w:val="009D6678"/>
    <w:rsid w:val="009D6F9A"/>
    <w:rsid w:val="009E16D3"/>
    <w:rsid w:val="009E5A5A"/>
    <w:rsid w:val="009F6DE0"/>
    <w:rsid w:val="00A0581E"/>
    <w:rsid w:val="00A100E0"/>
    <w:rsid w:val="00A202FC"/>
    <w:rsid w:val="00A2065B"/>
    <w:rsid w:val="00A2662F"/>
    <w:rsid w:val="00A462CB"/>
    <w:rsid w:val="00A5096E"/>
    <w:rsid w:val="00A53DA4"/>
    <w:rsid w:val="00A60E61"/>
    <w:rsid w:val="00A6460D"/>
    <w:rsid w:val="00A7147A"/>
    <w:rsid w:val="00A72437"/>
    <w:rsid w:val="00A7304A"/>
    <w:rsid w:val="00A74D6A"/>
    <w:rsid w:val="00A77801"/>
    <w:rsid w:val="00A80CC3"/>
    <w:rsid w:val="00A81895"/>
    <w:rsid w:val="00A82B22"/>
    <w:rsid w:val="00A87FA5"/>
    <w:rsid w:val="00A95CA4"/>
    <w:rsid w:val="00A97A2D"/>
    <w:rsid w:val="00AA185A"/>
    <w:rsid w:val="00AA38D9"/>
    <w:rsid w:val="00AA6240"/>
    <w:rsid w:val="00AB6419"/>
    <w:rsid w:val="00AB73C2"/>
    <w:rsid w:val="00AC3AD7"/>
    <w:rsid w:val="00AC49CF"/>
    <w:rsid w:val="00AC5A17"/>
    <w:rsid w:val="00AC5C90"/>
    <w:rsid w:val="00AC7811"/>
    <w:rsid w:val="00AE5DFB"/>
    <w:rsid w:val="00AE7E7E"/>
    <w:rsid w:val="00AF1D55"/>
    <w:rsid w:val="00AF3893"/>
    <w:rsid w:val="00AF6F7F"/>
    <w:rsid w:val="00AF7AA3"/>
    <w:rsid w:val="00AF7B80"/>
    <w:rsid w:val="00AF7BA8"/>
    <w:rsid w:val="00B02B8A"/>
    <w:rsid w:val="00B0627B"/>
    <w:rsid w:val="00B074D2"/>
    <w:rsid w:val="00B231F3"/>
    <w:rsid w:val="00B23432"/>
    <w:rsid w:val="00B26120"/>
    <w:rsid w:val="00B273A8"/>
    <w:rsid w:val="00B27FDA"/>
    <w:rsid w:val="00B37750"/>
    <w:rsid w:val="00B53EAA"/>
    <w:rsid w:val="00B5707D"/>
    <w:rsid w:val="00B63772"/>
    <w:rsid w:val="00B700ED"/>
    <w:rsid w:val="00B72163"/>
    <w:rsid w:val="00B72E39"/>
    <w:rsid w:val="00B800C1"/>
    <w:rsid w:val="00B80ED3"/>
    <w:rsid w:val="00B81CA2"/>
    <w:rsid w:val="00B8727A"/>
    <w:rsid w:val="00B9182D"/>
    <w:rsid w:val="00B922DA"/>
    <w:rsid w:val="00B94BEF"/>
    <w:rsid w:val="00B95D56"/>
    <w:rsid w:val="00B97ED5"/>
    <w:rsid w:val="00BA13A1"/>
    <w:rsid w:val="00BA4CDF"/>
    <w:rsid w:val="00BB1ACD"/>
    <w:rsid w:val="00BC6E91"/>
    <w:rsid w:val="00BD06FE"/>
    <w:rsid w:val="00BD4102"/>
    <w:rsid w:val="00BE13BC"/>
    <w:rsid w:val="00BE6D8D"/>
    <w:rsid w:val="00BF1160"/>
    <w:rsid w:val="00BF69AF"/>
    <w:rsid w:val="00C077BD"/>
    <w:rsid w:val="00C16113"/>
    <w:rsid w:val="00C170A3"/>
    <w:rsid w:val="00C212E3"/>
    <w:rsid w:val="00C21823"/>
    <w:rsid w:val="00C25FB8"/>
    <w:rsid w:val="00C33F26"/>
    <w:rsid w:val="00C34D64"/>
    <w:rsid w:val="00C36A04"/>
    <w:rsid w:val="00C377D4"/>
    <w:rsid w:val="00C4081C"/>
    <w:rsid w:val="00C4094C"/>
    <w:rsid w:val="00C4501C"/>
    <w:rsid w:val="00C45E80"/>
    <w:rsid w:val="00C4779E"/>
    <w:rsid w:val="00C61326"/>
    <w:rsid w:val="00C63F13"/>
    <w:rsid w:val="00C67207"/>
    <w:rsid w:val="00C739AE"/>
    <w:rsid w:val="00C74285"/>
    <w:rsid w:val="00C82319"/>
    <w:rsid w:val="00C860A0"/>
    <w:rsid w:val="00C90330"/>
    <w:rsid w:val="00C903D9"/>
    <w:rsid w:val="00CA4C2B"/>
    <w:rsid w:val="00CB177A"/>
    <w:rsid w:val="00CC1B70"/>
    <w:rsid w:val="00CC4288"/>
    <w:rsid w:val="00CC5E13"/>
    <w:rsid w:val="00CD7605"/>
    <w:rsid w:val="00CE00F4"/>
    <w:rsid w:val="00CE0AC8"/>
    <w:rsid w:val="00CE2AAA"/>
    <w:rsid w:val="00CE3A24"/>
    <w:rsid w:val="00CF1266"/>
    <w:rsid w:val="00CF5D23"/>
    <w:rsid w:val="00D034C6"/>
    <w:rsid w:val="00D06875"/>
    <w:rsid w:val="00D07B84"/>
    <w:rsid w:val="00D11AB9"/>
    <w:rsid w:val="00D1617B"/>
    <w:rsid w:val="00D30629"/>
    <w:rsid w:val="00D41A33"/>
    <w:rsid w:val="00D53085"/>
    <w:rsid w:val="00D55AD6"/>
    <w:rsid w:val="00D56642"/>
    <w:rsid w:val="00D57B76"/>
    <w:rsid w:val="00D60E60"/>
    <w:rsid w:val="00D647EE"/>
    <w:rsid w:val="00D66A2A"/>
    <w:rsid w:val="00D7392C"/>
    <w:rsid w:val="00D85C8A"/>
    <w:rsid w:val="00D8655A"/>
    <w:rsid w:val="00D87BAA"/>
    <w:rsid w:val="00D909BB"/>
    <w:rsid w:val="00D90F48"/>
    <w:rsid w:val="00D92EB3"/>
    <w:rsid w:val="00D95BB8"/>
    <w:rsid w:val="00DA06AB"/>
    <w:rsid w:val="00DA4C42"/>
    <w:rsid w:val="00DA5091"/>
    <w:rsid w:val="00DB0B94"/>
    <w:rsid w:val="00DB2063"/>
    <w:rsid w:val="00DB51DE"/>
    <w:rsid w:val="00DC6443"/>
    <w:rsid w:val="00DC7FF0"/>
    <w:rsid w:val="00DD137E"/>
    <w:rsid w:val="00DD428A"/>
    <w:rsid w:val="00DD779A"/>
    <w:rsid w:val="00DE5945"/>
    <w:rsid w:val="00DF6CD1"/>
    <w:rsid w:val="00DF71BA"/>
    <w:rsid w:val="00E02D76"/>
    <w:rsid w:val="00E10653"/>
    <w:rsid w:val="00E169C0"/>
    <w:rsid w:val="00E17E60"/>
    <w:rsid w:val="00E20101"/>
    <w:rsid w:val="00E227A1"/>
    <w:rsid w:val="00E31E36"/>
    <w:rsid w:val="00E45188"/>
    <w:rsid w:val="00E47596"/>
    <w:rsid w:val="00E60612"/>
    <w:rsid w:val="00E615AE"/>
    <w:rsid w:val="00E661D3"/>
    <w:rsid w:val="00E6698D"/>
    <w:rsid w:val="00E70C20"/>
    <w:rsid w:val="00E81D02"/>
    <w:rsid w:val="00E8300D"/>
    <w:rsid w:val="00E87303"/>
    <w:rsid w:val="00E87475"/>
    <w:rsid w:val="00E908CC"/>
    <w:rsid w:val="00E93113"/>
    <w:rsid w:val="00E96FC8"/>
    <w:rsid w:val="00EA3F2C"/>
    <w:rsid w:val="00EA4AC8"/>
    <w:rsid w:val="00EA6A14"/>
    <w:rsid w:val="00EA6B30"/>
    <w:rsid w:val="00EB5B82"/>
    <w:rsid w:val="00EB6FC9"/>
    <w:rsid w:val="00EC173D"/>
    <w:rsid w:val="00EC7627"/>
    <w:rsid w:val="00EC7F8E"/>
    <w:rsid w:val="00ED2E5E"/>
    <w:rsid w:val="00ED3D63"/>
    <w:rsid w:val="00ED5C5E"/>
    <w:rsid w:val="00EE48BF"/>
    <w:rsid w:val="00EE6BBF"/>
    <w:rsid w:val="00EF476A"/>
    <w:rsid w:val="00EF4AA4"/>
    <w:rsid w:val="00EF5E65"/>
    <w:rsid w:val="00F06431"/>
    <w:rsid w:val="00F0690A"/>
    <w:rsid w:val="00F077E4"/>
    <w:rsid w:val="00F12189"/>
    <w:rsid w:val="00F20AA8"/>
    <w:rsid w:val="00F2470D"/>
    <w:rsid w:val="00F3187E"/>
    <w:rsid w:val="00F336A2"/>
    <w:rsid w:val="00F42036"/>
    <w:rsid w:val="00F478A5"/>
    <w:rsid w:val="00F50564"/>
    <w:rsid w:val="00F5518B"/>
    <w:rsid w:val="00F571CC"/>
    <w:rsid w:val="00F65EE2"/>
    <w:rsid w:val="00F66CA5"/>
    <w:rsid w:val="00F76628"/>
    <w:rsid w:val="00F811B7"/>
    <w:rsid w:val="00F825A2"/>
    <w:rsid w:val="00F9081C"/>
    <w:rsid w:val="00F90883"/>
    <w:rsid w:val="00F95766"/>
    <w:rsid w:val="00FA3286"/>
    <w:rsid w:val="00FC25F3"/>
    <w:rsid w:val="00FC49BC"/>
    <w:rsid w:val="00FD036B"/>
    <w:rsid w:val="00FD3337"/>
    <w:rsid w:val="00FD7B94"/>
    <w:rsid w:val="00FE395D"/>
    <w:rsid w:val="00FE3AC0"/>
    <w:rsid w:val="00FF638B"/>
    <w:rsid w:val="016E4B84"/>
    <w:rsid w:val="35C066EF"/>
    <w:rsid w:val="3AAF4A09"/>
    <w:rsid w:val="51E93CD6"/>
    <w:rsid w:val="61F5002F"/>
    <w:rsid w:val="6653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semiHidden/>
    <w:qFormat/>
    <w:uiPriority w:val="99"/>
    <w:pPr>
      <w:jc w:val="left"/>
    </w:pPr>
    <w:rPr>
      <w:sz w:val="22"/>
    </w:rPr>
  </w:style>
  <w:style w:type="paragraph" w:styleId="7">
    <w:name w:val="Date"/>
    <w:basedOn w:val="1"/>
    <w:next w:val="1"/>
    <w:link w:val="24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annotation subject"/>
    <w:basedOn w:val="6"/>
    <w:next w:val="6"/>
    <w:link w:val="26"/>
    <w:semiHidden/>
    <w:qFormat/>
    <w:uiPriority w:val="99"/>
    <w:rPr>
      <w:b/>
      <w:bCs/>
    </w:rPr>
  </w:style>
  <w:style w:type="table" w:styleId="13">
    <w:name w:val="Table Grid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Hyperlink"/>
    <w:qFormat/>
    <w:uiPriority w:val="99"/>
    <w:rPr>
      <w:rFonts w:cs="Times New Roman"/>
      <w:color w:val="0000FF"/>
      <w:u w:val="single"/>
    </w:rPr>
  </w:style>
  <w:style w:type="character" w:styleId="16">
    <w:name w:val="annotation reference"/>
    <w:semiHidden/>
    <w:qFormat/>
    <w:uiPriority w:val="99"/>
    <w:rPr>
      <w:rFonts w:cs="Times New Roman"/>
      <w:sz w:val="21"/>
    </w:rPr>
  </w:style>
  <w:style w:type="character" w:customStyle="1" w:styleId="17">
    <w:name w:val="标题 1 字符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18">
    <w:name w:val="标题 2 字符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19">
    <w:name w:val="标题 3 字符"/>
    <w:link w:val="4"/>
    <w:qFormat/>
    <w:locked/>
    <w:uiPriority w:val="99"/>
    <w:rPr>
      <w:rFonts w:cs="Times New Roman"/>
      <w:b/>
      <w:sz w:val="32"/>
    </w:rPr>
  </w:style>
  <w:style w:type="character" w:customStyle="1" w:styleId="20">
    <w:name w:val="标题 4 字符"/>
    <w:link w:val="5"/>
    <w:qFormat/>
    <w:locked/>
    <w:uiPriority w:val="99"/>
    <w:rPr>
      <w:rFonts w:ascii="Cambria" w:hAnsi="Cambria" w:eastAsia="宋体" w:cs="Times New Roman"/>
      <w:b/>
      <w:sz w:val="28"/>
    </w:rPr>
  </w:style>
  <w:style w:type="character" w:customStyle="1" w:styleId="21">
    <w:name w:val="页眉 字符"/>
    <w:link w:val="10"/>
    <w:semiHidden/>
    <w:qFormat/>
    <w:locked/>
    <w:uiPriority w:val="99"/>
    <w:rPr>
      <w:rFonts w:cs="Times New Roman"/>
      <w:sz w:val="18"/>
    </w:rPr>
  </w:style>
  <w:style w:type="character" w:customStyle="1" w:styleId="22">
    <w:name w:val="页脚 字符"/>
    <w:link w:val="9"/>
    <w:semiHidden/>
    <w:qFormat/>
    <w:locked/>
    <w:uiPriority w:val="99"/>
    <w:rPr>
      <w:rFonts w:cs="Times New Roman"/>
      <w:sz w:val="18"/>
    </w:rPr>
  </w:style>
  <w:style w:type="paragraph" w:customStyle="1" w:styleId="23">
    <w:name w:val="列出段落1"/>
    <w:basedOn w:val="1"/>
    <w:qFormat/>
    <w:uiPriority w:val="99"/>
    <w:pPr>
      <w:ind w:firstLine="420" w:firstLineChars="200"/>
    </w:pPr>
  </w:style>
  <w:style w:type="character" w:customStyle="1" w:styleId="24">
    <w:name w:val="日期 字符"/>
    <w:link w:val="7"/>
    <w:semiHidden/>
    <w:qFormat/>
    <w:locked/>
    <w:uiPriority w:val="99"/>
    <w:rPr>
      <w:rFonts w:cs="Times New Roman"/>
    </w:rPr>
  </w:style>
  <w:style w:type="character" w:customStyle="1" w:styleId="25">
    <w:name w:val="批注文字 字符"/>
    <w:link w:val="6"/>
    <w:semiHidden/>
    <w:qFormat/>
    <w:locked/>
    <w:uiPriority w:val="99"/>
    <w:rPr>
      <w:rFonts w:cs="Times New Roman"/>
      <w:kern w:val="2"/>
      <w:sz w:val="22"/>
    </w:rPr>
  </w:style>
  <w:style w:type="character" w:customStyle="1" w:styleId="26">
    <w:name w:val="批注主题 字符"/>
    <w:link w:val="11"/>
    <w:semiHidden/>
    <w:qFormat/>
    <w:locked/>
    <w:uiPriority w:val="99"/>
    <w:rPr>
      <w:rFonts w:cs="Times New Roman"/>
      <w:b/>
      <w:kern w:val="2"/>
      <w:sz w:val="22"/>
    </w:rPr>
  </w:style>
  <w:style w:type="character" w:customStyle="1" w:styleId="27">
    <w:name w:val="批注框文本 字符"/>
    <w:link w:val="8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185</Words>
  <Characters>1056</Characters>
  <Lines>8</Lines>
  <Paragraphs>2</Paragraphs>
  <TotalTime>0</TotalTime>
  <ScaleCrop>false</ScaleCrop>
  <LinksUpToDate>false</LinksUpToDate>
  <CharactersWithSpaces>1239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1</cp:lastModifiedBy>
  <cp:lastPrinted>2019-09-26T07:05:00Z</cp:lastPrinted>
  <dcterms:modified xsi:type="dcterms:W3CDTF">2025-07-09T03:35:38Z</dcterms:modified>
  <cp:revision>200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