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center"/>
        <w:rPr>
          <w:rFonts w:ascii="宋体"/>
        </w:rPr>
      </w:pPr>
      <w:r>
        <w:rPr>
          <w:rFonts w:hint="eastAsia" w:ascii="宋体" w:hAnsi="宋体"/>
        </w:rPr>
        <w:t>中山市中医院2025年-2028年律师服务项目</w:t>
      </w:r>
    </w:p>
    <w:p>
      <w:pPr>
        <w:spacing w:line="380" w:lineRule="exact"/>
        <w:ind w:left="420"/>
        <w:rPr>
          <w:rFonts w:ascii="宋体"/>
          <w:b/>
          <w:szCs w:val="21"/>
        </w:rPr>
      </w:pPr>
      <w:r>
        <w:rPr>
          <w:rFonts w:hint="eastAsia" w:ascii="宋体" w:hAnsi="宋体"/>
          <w:b/>
          <w:bCs/>
          <w:szCs w:val="21"/>
        </w:rPr>
        <w:t>一、</w:t>
      </w:r>
      <w:r>
        <w:rPr>
          <w:rFonts w:hint="eastAsia" w:ascii="宋体" w:hAnsi="宋体"/>
          <w:b/>
          <w:szCs w:val="21"/>
        </w:rPr>
        <w:t>项目概况</w:t>
      </w:r>
    </w:p>
    <w:p>
      <w:pPr>
        <w:spacing w:line="380" w:lineRule="exact"/>
        <w:ind w:left="420"/>
        <w:rPr>
          <w:rFonts w:ascii="宋体"/>
          <w:bCs/>
          <w:szCs w:val="21"/>
        </w:rPr>
      </w:pPr>
      <w:r>
        <w:rPr>
          <w:rFonts w:ascii="宋体" w:hAnsi="宋体"/>
          <w:bCs/>
          <w:szCs w:val="21"/>
        </w:rPr>
        <w:t>1</w:t>
      </w:r>
      <w:r>
        <w:rPr>
          <w:rFonts w:hint="eastAsia" w:ascii="宋体" w:hAnsi="宋体"/>
          <w:bCs/>
          <w:szCs w:val="21"/>
        </w:rPr>
        <w:t>、项目名称：</w:t>
      </w:r>
      <w:r>
        <w:rPr>
          <w:rFonts w:hint="eastAsia" w:ascii="宋体" w:hAnsi="宋体"/>
        </w:rPr>
        <w:t>中山市中医院</w:t>
      </w:r>
      <w:r>
        <w:rPr>
          <w:rFonts w:hint="eastAsia" w:ascii="宋体" w:hAnsi="宋体" w:cs="仿宋_GB2312"/>
          <w:szCs w:val="21"/>
        </w:rPr>
        <w:t>2025年-2028年律师</w:t>
      </w:r>
      <w:r>
        <w:rPr>
          <w:rFonts w:hint="eastAsia" w:ascii="宋体" w:hAnsi="宋体"/>
        </w:rPr>
        <w:t>服务项目</w:t>
      </w:r>
    </w:p>
    <w:p>
      <w:pPr>
        <w:spacing w:line="380" w:lineRule="exact"/>
        <w:ind w:firstLine="420" w:firstLineChars="200"/>
        <w:rPr>
          <w:rFonts w:ascii="宋体" w:hAnsi="宋体" w:cs="仿宋_GB2312"/>
          <w:color w:val="FF0000"/>
          <w:szCs w:val="21"/>
        </w:rPr>
      </w:pPr>
      <w:r>
        <w:rPr>
          <w:rFonts w:ascii="宋体" w:hAnsi="宋体" w:cs="宋体"/>
          <w:color w:val="000000"/>
          <w:kern w:val="0"/>
          <w:szCs w:val="21"/>
        </w:rPr>
        <w:t>2</w:t>
      </w:r>
      <w:r>
        <w:rPr>
          <w:rFonts w:hint="eastAsia" w:ascii="宋体" w:hAnsi="宋体" w:cs="宋体"/>
          <w:color w:val="000000"/>
          <w:kern w:val="0"/>
          <w:szCs w:val="21"/>
        </w:rPr>
        <w:t>、项</w:t>
      </w:r>
      <w:r>
        <w:rPr>
          <w:rFonts w:hint="eastAsia" w:ascii="宋体" w:hAnsi="宋体" w:cs="宋体"/>
          <w:kern w:val="0"/>
          <w:szCs w:val="21"/>
        </w:rPr>
        <w:t>目内容：医院拟</w:t>
      </w:r>
      <w:r>
        <w:rPr>
          <w:rFonts w:hint="eastAsia" w:ascii="宋体" w:hAnsi="宋体" w:cs="仿宋_GB2312"/>
          <w:szCs w:val="21"/>
        </w:rPr>
        <w:t>委托一家律师事务所，通过相关法律途径，协助医院进行维权清收经医院合理催告仍无法清收的医疗欠款。</w:t>
      </w:r>
    </w:p>
    <w:p>
      <w:pPr>
        <w:spacing w:line="380" w:lineRule="exact"/>
        <w:ind w:firstLine="420" w:firstLineChars="200"/>
        <w:rPr>
          <w:rFonts w:ascii="宋体" w:hAnsi="宋体" w:cs="仿宋_GB2312"/>
          <w:szCs w:val="21"/>
        </w:rPr>
      </w:pPr>
      <w:r>
        <w:rPr>
          <w:rFonts w:ascii="宋体" w:hAnsi="宋体" w:cs="仿宋_GB2312"/>
          <w:szCs w:val="21"/>
        </w:rPr>
        <w:t>3</w:t>
      </w:r>
      <w:r>
        <w:rPr>
          <w:rFonts w:hint="eastAsia" w:ascii="宋体" w:hAnsi="宋体" w:cs="仿宋_GB2312"/>
          <w:szCs w:val="21"/>
        </w:rPr>
        <w:t>、预算金额：80000元</w:t>
      </w:r>
    </w:p>
    <w:p>
      <w:pPr>
        <w:widowControl/>
        <w:tabs>
          <w:tab w:val="left" w:pos="424"/>
        </w:tabs>
        <w:spacing w:line="380" w:lineRule="exact"/>
        <w:ind w:firstLine="42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4</w:t>
      </w:r>
      <w:r>
        <w:rPr>
          <w:rFonts w:hint="eastAsia" w:ascii="宋体" w:hAnsi="宋体" w:cs="宋体"/>
          <w:kern w:val="0"/>
          <w:szCs w:val="21"/>
        </w:rPr>
        <w:t>、服务期：3年</w:t>
      </w:r>
    </w:p>
    <w:p>
      <w:pPr>
        <w:widowControl/>
        <w:tabs>
          <w:tab w:val="left" w:pos="424"/>
        </w:tabs>
        <w:spacing w:line="380" w:lineRule="exact"/>
        <w:ind w:firstLine="42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5、服务商</w:t>
      </w:r>
      <w:r>
        <w:rPr>
          <w:rFonts w:hint="eastAsia"/>
          <w:szCs w:val="21"/>
        </w:rPr>
        <w:t>须具备广东省政府采购智慧云平台电子卖场供应商资质。</w:t>
      </w:r>
    </w:p>
    <w:p>
      <w:pPr>
        <w:spacing w:line="380" w:lineRule="exact"/>
        <w:ind w:firstLine="422" w:firstLineChars="200"/>
        <w:rPr>
          <w:rFonts w:hint="eastAsia"/>
          <w:b/>
          <w:szCs w:val="21"/>
        </w:rPr>
      </w:pPr>
    </w:p>
    <w:p>
      <w:pPr>
        <w:spacing w:line="380" w:lineRule="exact"/>
        <w:ind w:firstLine="422" w:firstLineChars="200"/>
        <w:rPr>
          <w:b/>
          <w:szCs w:val="21"/>
        </w:rPr>
      </w:pPr>
      <w:r>
        <w:rPr>
          <w:rFonts w:hint="eastAsia"/>
          <w:b/>
          <w:szCs w:val="21"/>
        </w:rPr>
        <w:t>二、服务内容及要求</w:t>
      </w:r>
    </w:p>
    <w:p>
      <w:pPr>
        <w:spacing w:line="380" w:lineRule="exact"/>
        <w:ind w:firstLine="420" w:firstLineChars="200"/>
        <w:rPr>
          <w:rFonts w:ascii="宋体" w:hAnsi="宋体" w:cs="仿宋_GB2312"/>
          <w:szCs w:val="21"/>
        </w:rPr>
      </w:pPr>
      <w:r>
        <w:rPr>
          <w:rFonts w:ascii="宋体" w:hAnsi="宋体" w:cs="仿宋_GB2312"/>
          <w:szCs w:val="21"/>
        </w:rPr>
        <w:t>1</w:t>
      </w:r>
      <w:r>
        <w:rPr>
          <w:rFonts w:hint="eastAsia" w:ascii="宋体" w:hAnsi="宋体" w:cs="仿宋_GB2312"/>
          <w:szCs w:val="21"/>
        </w:rPr>
        <w:t>、服务商为采购人免费提供医疗欠款方面的法律咨询、建议。</w:t>
      </w:r>
    </w:p>
    <w:p>
      <w:pPr>
        <w:spacing w:line="380" w:lineRule="exact"/>
        <w:ind w:firstLine="420" w:firstLineChars="200"/>
        <w:rPr>
          <w:rFonts w:ascii="宋体" w:hAnsi="宋体" w:cs="仿宋_GB2312"/>
          <w:szCs w:val="21"/>
        </w:rPr>
      </w:pPr>
      <w:r>
        <w:rPr>
          <w:rFonts w:hint="eastAsia" w:ascii="宋体" w:hAnsi="宋体" w:cs="仿宋_GB2312"/>
          <w:szCs w:val="21"/>
        </w:rPr>
        <w:t>2、服务商根据具体情况，向欠费人员及连带责任人员发送催收律师函。</w:t>
      </w:r>
    </w:p>
    <w:p>
      <w:pPr>
        <w:spacing w:line="380" w:lineRule="exact"/>
        <w:ind w:firstLine="420" w:firstLineChars="200"/>
        <w:rPr>
          <w:rFonts w:ascii="宋体" w:hAnsi="宋体" w:cs="仿宋_GB2312"/>
          <w:szCs w:val="21"/>
        </w:rPr>
      </w:pPr>
      <w:r>
        <w:rPr>
          <w:rFonts w:hint="eastAsia" w:ascii="宋体" w:hAnsi="宋体" w:cs="仿宋_GB2312"/>
          <w:szCs w:val="21"/>
        </w:rPr>
        <w:t>3、服务商根据具体情况，对欠费人员及连带责任人员提起诉讼，追索所欠医疗费用。</w:t>
      </w:r>
    </w:p>
    <w:p>
      <w:pPr>
        <w:spacing w:line="380" w:lineRule="exact"/>
        <w:ind w:firstLine="420" w:firstLineChars="200"/>
        <w:rPr>
          <w:rFonts w:ascii="宋体" w:hAnsi="宋体" w:cs="仿宋_GB2312"/>
          <w:szCs w:val="21"/>
        </w:rPr>
      </w:pPr>
      <w:r>
        <w:rPr>
          <w:rFonts w:hint="eastAsia" w:ascii="宋体" w:hAnsi="宋体" w:cs="仿宋_GB2312"/>
          <w:szCs w:val="21"/>
        </w:rPr>
        <w:t>4、法院诉讼费用须由服务商先行垫付，按</w:t>
      </w:r>
      <w:r>
        <w:rPr>
          <w:rFonts w:hint="eastAsia" w:ascii="宋体" w:hAnsi="宋体" w:cs="仿宋_GB2312"/>
          <w:color w:val="auto"/>
          <w:szCs w:val="21"/>
        </w:rPr>
        <w:t>季</w:t>
      </w:r>
      <w:r>
        <w:rPr>
          <w:rFonts w:hint="eastAsia" w:ascii="宋体" w:hAnsi="宋体" w:cs="仿宋_GB2312"/>
          <w:color w:val="auto"/>
          <w:szCs w:val="21"/>
          <w:lang w:eastAsia="zh-CN"/>
        </w:rPr>
        <w:t>度</w:t>
      </w:r>
      <w:r>
        <w:rPr>
          <w:rFonts w:hint="eastAsia" w:ascii="宋体" w:hAnsi="宋体" w:cs="仿宋_GB2312"/>
          <w:szCs w:val="21"/>
        </w:rPr>
        <w:t>凭诉讼费发票向采购人结算。</w:t>
      </w:r>
    </w:p>
    <w:p>
      <w:pPr>
        <w:spacing w:line="380" w:lineRule="exact"/>
        <w:ind w:firstLine="420" w:firstLineChars="200"/>
        <w:rPr>
          <w:rFonts w:ascii="宋体" w:hAnsi="宋体" w:cs="仿宋_GB2312"/>
          <w:szCs w:val="21"/>
        </w:rPr>
      </w:pPr>
      <w:r>
        <w:rPr>
          <w:rFonts w:hint="eastAsia" w:ascii="宋体" w:hAnsi="宋体" w:cs="仿宋_GB2312"/>
          <w:szCs w:val="21"/>
        </w:rPr>
        <w:t>5、追索医疗费用案件，法院工作人员及代理人出差外市、外省进行办案或执行的差旅费、住宿费、交通费等费用由服务商承担。</w:t>
      </w:r>
    </w:p>
    <w:p>
      <w:pPr>
        <w:spacing w:line="380" w:lineRule="exact"/>
        <w:ind w:left="315" w:leftChars="150" w:firstLine="97" w:firstLineChars="46"/>
        <w:rPr>
          <w:rFonts w:hint="eastAsia" w:ascii="宋体" w:hAnsi="宋体"/>
          <w:b/>
          <w:color w:val="000000"/>
          <w:szCs w:val="21"/>
        </w:rPr>
      </w:pPr>
    </w:p>
    <w:p>
      <w:pPr>
        <w:spacing w:line="380" w:lineRule="exact"/>
        <w:ind w:left="315" w:leftChars="150" w:firstLine="97" w:firstLineChars="46"/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color w:val="000000"/>
          <w:szCs w:val="21"/>
        </w:rPr>
        <w:t>三、报价要求</w:t>
      </w:r>
    </w:p>
    <w:p>
      <w:pPr>
        <w:spacing w:line="380" w:lineRule="exact"/>
        <w:ind w:firstLine="420" w:firstLineChars="200"/>
        <w:rPr>
          <w:rFonts w:ascii="宋体" w:hAnsi="宋体" w:cs="仿宋_GB2312"/>
          <w:szCs w:val="21"/>
        </w:rPr>
      </w:pPr>
      <w:r>
        <w:rPr>
          <w:rFonts w:hint="eastAsia" w:ascii="宋体" w:hAnsi="宋体" w:cs="仿宋_GB2312"/>
          <w:szCs w:val="21"/>
        </w:rPr>
        <w:t>1、中山市内办结(含审判或执行)的案件，服务费用不高于实际收回金额的</w:t>
      </w:r>
      <w:r>
        <w:rPr>
          <w:rFonts w:ascii="宋体" w:hAnsi="宋体" w:cs="仿宋_GB2312"/>
          <w:szCs w:val="21"/>
        </w:rPr>
        <w:t>8</w:t>
      </w:r>
      <w:r>
        <w:rPr>
          <w:rFonts w:hint="eastAsia" w:ascii="宋体" w:hAnsi="宋体" w:cs="仿宋_GB2312"/>
          <w:szCs w:val="21"/>
        </w:rPr>
        <w:t>%。</w:t>
      </w:r>
    </w:p>
    <w:p>
      <w:pPr>
        <w:spacing w:line="380" w:lineRule="exact"/>
        <w:ind w:firstLine="420" w:firstLineChars="200"/>
        <w:rPr>
          <w:rFonts w:ascii="宋体" w:hAnsi="宋体" w:cs="仿宋_GB2312"/>
          <w:szCs w:val="21"/>
        </w:rPr>
      </w:pPr>
      <w:r>
        <w:rPr>
          <w:rFonts w:hint="eastAsia" w:ascii="宋体" w:hAnsi="宋体" w:cs="仿宋_GB2312"/>
          <w:szCs w:val="21"/>
        </w:rPr>
        <w:t>2、广东省内中山市外办结(含审判或执行)的案件，服务费用不高于实际收回金额的1</w:t>
      </w:r>
      <w:r>
        <w:rPr>
          <w:rFonts w:hint="eastAsia" w:ascii="宋体" w:hAnsi="宋体" w:cs="仿宋_GB2312"/>
          <w:szCs w:val="21"/>
          <w:lang w:val="en-US" w:eastAsia="zh-CN"/>
        </w:rPr>
        <w:t>2</w:t>
      </w:r>
      <w:r>
        <w:rPr>
          <w:rFonts w:hint="eastAsia" w:ascii="宋体" w:hAnsi="宋体" w:cs="仿宋_GB2312"/>
          <w:szCs w:val="21"/>
        </w:rPr>
        <w:t>%。</w:t>
      </w:r>
    </w:p>
    <w:p>
      <w:pPr>
        <w:spacing w:line="380" w:lineRule="exact"/>
        <w:ind w:firstLine="420" w:firstLineChars="200"/>
        <w:rPr>
          <w:rFonts w:ascii="宋体" w:hAnsi="宋体" w:cs="仿宋_GB2312"/>
          <w:szCs w:val="21"/>
        </w:rPr>
      </w:pPr>
      <w:r>
        <w:rPr>
          <w:rFonts w:hint="eastAsia" w:ascii="宋体" w:hAnsi="宋体" w:cs="仿宋_GB2312"/>
          <w:szCs w:val="21"/>
        </w:rPr>
        <w:t>3、广东省外办结(含审判或执行)的案件，服务费用不高于实际收回金额的</w:t>
      </w:r>
      <w:r>
        <w:rPr>
          <w:rFonts w:hint="eastAsia" w:ascii="宋体" w:hAnsi="宋体" w:cs="仿宋_GB2312"/>
          <w:szCs w:val="21"/>
          <w:lang w:val="en-US" w:eastAsia="zh-CN"/>
        </w:rPr>
        <w:t>16</w:t>
      </w:r>
      <w:r>
        <w:rPr>
          <w:rFonts w:hint="eastAsia" w:ascii="宋体" w:hAnsi="宋体" w:cs="仿宋_GB2312"/>
          <w:szCs w:val="21"/>
        </w:rPr>
        <w:t>%。</w:t>
      </w:r>
    </w:p>
    <w:p>
      <w:pPr>
        <w:spacing w:line="380" w:lineRule="exact"/>
        <w:ind w:firstLine="420" w:firstLineChars="200"/>
        <w:rPr>
          <w:rFonts w:ascii="宋体" w:hAnsi="宋体" w:cs="仿宋_GB2312"/>
          <w:szCs w:val="21"/>
        </w:rPr>
      </w:pPr>
      <w:r>
        <w:rPr>
          <w:rFonts w:hint="eastAsia" w:ascii="宋体" w:hAnsi="宋体" w:cs="仿宋_GB2312"/>
          <w:szCs w:val="21"/>
        </w:rPr>
        <w:t>4、以上情形下,若追索的欠费为社保基金结付的款项，服务费用不高于实际收回金额的</w:t>
      </w:r>
      <w:r>
        <w:rPr>
          <w:rFonts w:hint="eastAsia" w:ascii="宋体" w:hAnsi="宋体" w:cs="仿宋_GB2312"/>
          <w:szCs w:val="21"/>
          <w:lang w:val="en-US" w:eastAsia="zh-CN"/>
        </w:rPr>
        <w:t>3.</w:t>
      </w:r>
      <w:r>
        <w:rPr>
          <w:rFonts w:hint="eastAsia" w:ascii="宋体" w:hAnsi="宋体" w:cs="仿宋_GB2312"/>
          <w:szCs w:val="21"/>
        </w:rPr>
        <w:t>5%。</w:t>
      </w:r>
    </w:p>
    <w:p>
      <w:pPr>
        <w:spacing w:line="380" w:lineRule="exact"/>
        <w:ind w:firstLine="420" w:firstLineChars="200"/>
        <w:rPr>
          <w:rFonts w:ascii="宋体" w:hAnsi="宋体" w:cs="仿宋_GB2312"/>
          <w:szCs w:val="21"/>
        </w:rPr>
      </w:pPr>
      <w:r>
        <w:rPr>
          <w:rFonts w:hint="eastAsia" w:ascii="宋体" w:hAnsi="宋体" w:cs="仿宋_GB2312"/>
          <w:szCs w:val="21"/>
        </w:rPr>
        <w:t>★5、服务商根据实际收回的金额按比例收取提成</w:t>
      </w:r>
      <w:r>
        <w:rPr>
          <w:rFonts w:hint="eastAsia" w:ascii="宋体" w:hAnsi="宋体" w:cs="仿宋_GB2312"/>
          <w:szCs w:val="21"/>
          <w:lang w:eastAsia="zh-CN"/>
        </w:rPr>
        <w:t>，采购人不再支付其他费用</w:t>
      </w:r>
      <w:r>
        <w:rPr>
          <w:rFonts w:hint="eastAsia" w:ascii="宋体" w:hAnsi="宋体" w:cs="仿宋_GB2312"/>
          <w:szCs w:val="21"/>
        </w:rPr>
        <w:t>。</w:t>
      </w:r>
    </w:p>
    <w:p>
      <w:pPr>
        <w:spacing w:line="380" w:lineRule="exact"/>
        <w:ind w:left="315" w:leftChars="150" w:firstLine="97" w:firstLineChars="46"/>
        <w:rPr>
          <w:rFonts w:hint="eastAsia" w:ascii="宋体" w:hAnsi="宋体"/>
          <w:b/>
          <w:color w:val="000000"/>
          <w:szCs w:val="21"/>
        </w:rPr>
      </w:pPr>
    </w:p>
    <w:p>
      <w:pPr>
        <w:spacing w:line="380" w:lineRule="exact"/>
        <w:ind w:left="315" w:leftChars="150" w:firstLine="97" w:firstLineChars="46"/>
        <w:rPr>
          <w:rFonts w:ascii="宋体" w:hAnsi="宋体"/>
          <w:b/>
          <w:color w:val="000000"/>
          <w:szCs w:val="21"/>
        </w:rPr>
      </w:pPr>
      <w:bookmarkStart w:id="0" w:name="_GoBack"/>
      <w:bookmarkEnd w:id="0"/>
      <w:r>
        <w:rPr>
          <w:rFonts w:hint="eastAsia" w:ascii="宋体" w:hAnsi="宋体"/>
          <w:b/>
          <w:color w:val="000000"/>
          <w:szCs w:val="21"/>
        </w:rPr>
        <w:t>四、付款方式</w:t>
      </w:r>
    </w:p>
    <w:p>
      <w:pPr>
        <w:spacing w:line="380" w:lineRule="exact"/>
        <w:ind w:firstLine="420" w:firstLineChars="200"/>
        <w:rPr>
          <w:rFonts w:ascii="宋体" w:hAnsi="宋体" w:cs="仿宋_GB2312"/>
          <w:szCs w:val="21"/>
        </w:rPr>
      </w:pPr>
      <w:r>
        <w:rPr>
          <w:rFonts w:hint="eastAsia" w:ascii="宋体" w:hAnsi="宋体" w:cs="仿宋_GB2312"/>
          <w:szCs w:val="21"/>
        </w:rPr>
        <w:t>1、法院诉讼费用待每次案件结束后，服务商提交诉讼费正规发票，采购人收到后60个自然日内支付相应费用。</w:t>
      </w:r>
    </w:p>
    <w:p>
      <w:pPr>
        <w:spacing w:line="380" w:lineRule="exact"/>
        <w:ind w:firstLine="420" w:firstLineChars="200"/>
        <w:rPr>
          <w:rFonts w:ascii="宋体" w:hAnsi="宋体" w:cs="仿宋_GB2312"/>
          <w:szCs w:val="21"/>
        </w:rPr>
      </w:pPr>
      <w:r>
        <w:rPr>
          <w:rFonts w:hint="eastAsia" w:ascii="宋体" w:hAnsi="宋体" w:cs="仿宋_GB2312"/>
          <w:szCs w:val="21"/>
        </w:rPr>
        <w:t>2、服务商根据每次实际收回的金额，按合同附件约定的比例收取服务费。待甲方财务管理部门确认款项到账后，乙方按合同附件约定的服务费收取比例开具相应金额的正规发票，甲方收到后60个自然日内支付相应费用。</w:t>
      </w:r>
    </w:p>
    <w:p>
      <w:pPr>
        <w:widowControl/>
        <w:jc w:val="left"/>
        <w:rPr>
          <w:sz w:val="28"/>
        </w:rPr>
      </w:pPr>
    </w:p>
    <w:p>
      <w:pPr>
        <w:widowControl/>
        <w:ind w:firstLine="420"/>
        <w:jc w:val="left"/>
      </w:pPr>
    </w:p>
    <w:p>
      <w:pPr>
        <w:widowControl/>
        <w:ind w:firstLine="420"/>
        <w:jc w:val="left"/>
      </w:pPr>
    </w:p>
    <w:p>
      <w:pPr>
        <w:widowControl/>
        <w:ind w:firstLine="420"/>
        <w:jc w:val="left"/>
      </w:pPr>
    </w:p>
    <w:p>
      <w:pPr>
        <w:widowControl/>
        <w:ind w:firstLine="420"/>
        <w:jc w:val="left"/>
      </w:pPr>
    </w:p>
    <w:p>
      <w:pPr>
        <w:widowControl/>
        <w:jc w:val="left"/>
        <w:rPr>
          <w:rFonts w:ascii="宋体" w:cs="宋体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rPr>
          <w:rFonts w:ascii="宋体" w:cs="宋体"/>
          <w:bCs/>
          <w:color w:val="000000"/>
          <w:kern w:val="0"/>
          <w:sz w:val="24"/>
          <w:szCs w:val="24"/>
        </w:rPr>
      </w:pPr>
      <w:r>
        <w:rPr>
          <w:rFonts w:hint="eastAsia" w:ascii="宋体" w:cs="宋体"/>
          <w:bCs/>
          <w:color w:val="000000"/>
          <w:kern w:val="0"/>
          <w:sz w:val="24"/>
          <w:szCs w:val="24"/>
        </w:rPr>
        <w:t>附件：</w:t>
      </w:r>
    </w:p>
    <w:p>
      <w:pPr>
        <w:widowControl/>
        <w:jc w:val="center"/>
        <w:rPr>
          <w:rFonts w:ascii="宋体" w:cs="宋体"/>
          <w:bCs/>
          <w:color w:val="000000"/>
          <w:kern w:val="0"/>
          <w:sz w:val="30"/>
          <w:szCs w:val="30"/>
        </w:rPr>
      </w:pPr>
      <w:r>
        <w:rPr>
          <w:rFonts w:hint="eastAsia" w:ascii="宋体" w:cs="宋体"/>
          <w:bCs/>
          <w:color w:val="000000"/>
          <w:kern w:val="0"/>
          <w:sz w:val="30"/>
          <w:szCs w:val="30"/>
        </w:rPr>
        <w:t>项目报价单</w:t>
      </w:r>
    </w:p>
    <w:tbl>
      <w:tblPr>
        <w:tblStyle w:val="15"/>
        <w:tblW w:w="8215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2867"/>
        <w:gridCol w:w="1841"/>
        <w:gridCol w:w="1403"/>
        <w:gridCol w:w="14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62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86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案件类型</w:t>
            </w:r>
          </w:p>
        </w:tc>
        <w:tc>
          <w:tcPr>
            <w:tcW w:w="18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服务限价</w:t>
            </w:r>
          </w:p>
        </w:tc>
        <w:tc>
          <w:tcPr>
            <w:tcW w:w="140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服务商报价</w:t>
            </w:r>
          </w:p>
        </w:tc>
        <w:tc>
          <w:tcPr>
            <w:tcW w:w="148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867" w:type="dxa"/>
            <w:vAlign w:val="center"/>
          </w:tcPr>
          <w:p>
            <w:pPr>
              <w:spacing w:line="360" w:lineRule="exact"/>
              <w:jc w:val="left"/>
              <w:rPr>
                <w:rFonts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在中山市内办结(含审判或执行)的自费案件</w:t>
            </w:r>
          </w:p>
        </w:tc>
        <w:tc>
          <w:tcPr>
            <w:tcW w:w="18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服务费用不高于实际收回金额的</w:t>
            </w:r>
            <w:r>
              <w:rPr>
                <w:rFonts w:hint="eastAsia" w:ascii="宋体" w:hAnsi="宋体" w:cs="仿宋_GB2312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仿宋_GB2312"/>
                <w:sz w:val="18"/>
                <w:szCs w:val="18"/>
              </w:rPr>
              <w:t>%</w:t>
            </w:r>
          </w:p>
        </w:tc>
        <w:tc>
          <w:tcPr>
            <w:tcW w:w="140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价格评分时，本项占比35%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867" w:type="dxa"/>
            <w:vAlign w:val="center"/>
          </w:tcPr>
          <w:p>
            <w:pPr>
              <w:widowControl/>
              <w:jc w:val="left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广东省内中山市外办结(含审判或执行)的自费案件</w:t>
            </w:r>
          </w:p>
        </w:tc>
        <w:tc>
          <w:tcPr>
            <w:tcW w:w="18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服务费用不高于实际收回金额的1</w:t>
            </w:r>
            <w:r>
              <w:rPr>
                <w:rFonts w:hint="eastAsia" w:ascii="宋体" w:hAnsi="宋体" w:cs="仿宋_GB2312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仿宋_GB2312"/>
                <w:sz w:val="18"/>
                <w:szCs w:val="18"/>
              </w:rPr>
              <w:t>%</w:t>
            </w:r>
          </w:p>
        </w:tc>
        <w:tc>
          <w:tcPr>
            <w:tcW w:w="140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价格评分时，本项占比10%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867" w:type="dxa"/>
            <w:vAlign w:val="center"/>
          </w:tcPr>
          <w:p>
            <w:pPr>
              <w:widowControl/>
              <w:jc w:val="left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广东省外办结(含审判或执行)的自费案件</w:t>
            </w:r>
          </w:p>
        </w:tc>
        <w:tc>
          <w:tcPr>
            <w:tcW w:w="18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服务费用不高于实际收回金额的</w:t>
            </w:r>
            <w:r>
              <w:rPr>
                <w:rFonts w:hint="eastAsia" w:ascii="宋体" w:hAnsi="宋体" w:cs="仿宋_GB2312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cs="仿宋_GB2312"/>
                <w:sz w:val="18"/>
                <w:szCs w:val="18"/>
              </w:rPr>
              <w:t>%</w:t>
            </w:r>
          </w:p>
        </w:tc>
        <w:tc>
          <w:tcPr>
            <w:tcW w:w="140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价格评分时，本项占比10%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867" w:type="dxa"/>
            <w:vAlign w:val="center"/>
          </w:tcPr>
          <w:p>
            <w:pPr>
              <w:widowControl/>
              <w:jc w:val="left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以上情形下,若追索的欠费为社保基金结付的款项</w:t>
            </w:r>
          </w:p>
        </w:tc>
        <w:tc>
          <w:tcPr>
            <w:tcW w:w="18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服务费用不高于实际收回金额的</w:t>
            </w:r>
            <w:r>
              <w:rPr>
                <w:rFonts w:hint="eastAsia" w:ascii="宋体" w:hAnsi="宋体" w:cs="仿宋_GB2312"/>
                <w:sz w:val="18"/>
                <w:szCs w:val="18"/>
                <w:lang w:val="en-US" w:eastAsia="zh-CN"/>
              </w:rPr>
              <w:t>3.</w:t>
            </w:r>
            <w:r>
              <w:rPr>
                <w:rFonts w:hint="eastAsia" w:ascii="宋体" w:hAnsi="宋体" w:cs="仿宋_GB2312"/>
                <w:sz w:val="18"/>
                <w:szCs w:val="18"/>
              </w:rPr>
              <w:t>5%</w:t>
            </w:r>
          </w:p>
        </w:tc>
        <w:tc>
          <w:tcPr>
            <w:tcW w:w="140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价格评分时，本项占比35%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62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86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不涉及医疗费的其他案件</w:t>
            </w:r>
          </w:p>
        </w:tc>
        <w:tc>
          <w:tcPr>
            <w:tcW w:w="18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服务费用不高于</w:t>
            </w:r>
            <w:r>
              <w:rPr>
                <w:rFonts w:hint="eastAsia" w:ascii="宋体" w:hAnsi="宋体" w:cs="仿宋_GB2312"/>
                <w:sz w:val="18"/>
                <w:szCs w:val="18"/>
                <w:lang w:val="en-US" w:eastAsia="zh-CN"/>
              </w:rPr>
              <w:t>2400</w:t>
            </w:r>
            <w:r>
              <w:rPr>
                <w:rFonts w:hint="eastAsia" w:ascii="宋体" w:hAnsi="宋体" w:cs="仿宋_GB2312"/>
                <w:sz w:val="18"/>
                <w:szCs w:val="18"/>
              </w:rPr>
              <w:t>元/件</w:t>
            </w:r>
          </w:p>
        </w:tc>
        <w:tc>
          <w:tcPr>
            <w:tcW w:w="140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价格评分时，本项占比10%</w:t>
            </w:r>
          </w:p>
        </w:tc>
      </w:tr>
    </w:tbl>
    <w:p>
      <w:pPr>
        <w:widowControl/>
        <w:rPr>
          <w:rFonts w:ascii="宋体" w:cs="宋体"/>
          <w:bCs/>
          <w:color w:val="000000"/>
          <w:kern w:val="0"/>
          <w:szCs w:val="21"/>
        </w:rPr>
      </w:pPr>
    </w:p>
    <w:p>
      <w:pPr>
        <w:widowControl/>
        <w:rPr>
          <w:rFonts w:ascii="宋体" w:cs="宋体"/>
          <w:bCs/>
          <w:color w:val="000000"/>
          <w:kern w:val="0"/>
          <w:szCs w:val="21"/>
        </w:rPr>
      </w:pPr>
      <w:r>
        <w:rPr>
          <w:rFonts w:hint="eastAsia" w:ascii="宋体" w:cs="宋体"/>
          <w:bCs/>
          <w:color w:val="000000"/>
          <w:kern w:val="0"/>
          <w:szCs w:val="21"/>
        </w:rPr>
        <w:t>注：按以往经验，中山市内执行的案件比例较高。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384B"/>
    <w:rsid w:val="00012E8F"/>
    <w:rsid w:val="00025C66"/>
    <w:rsid w:val="00031220"/>
    <w:rsid w:val="0003131D"/>
    <w:rsid w:val="00031681"/>
    <w:rsid w:val="00041A9B"/>
    <w:rsid w:val="00055BB0"/>
    <w:rsid w:val="00063F48"/>
    <w:rsid w:val="00065209"/>
    <w:rsid w:val="000656F0"/>
    <w:rsid w:val="00084535"/>
    <w:rsid w:val="00086879"/>
    <w:rsid w:val="00090F08"/>
    <w:rsid w:val="000A075D"/>
    <w:rsid w:val="000A2CDB"/>
    <w:rsid w:val="000B0AF5"/>
    <w:rsid w:val="000B1B61"/>
    <w:rsid w:val="000B5AEC"/>
    <w:rsid w:val="000B733E"/>
    <w:rsid w:val="000B7596"/>
    <w:rsid w:val="000C1A22"/>
    <w:rsid w:val="000C296F"/>
    <w:rsid w:val="000C3976"/>
    <w:rsid w:val="000C44AD"/>
    <w:rsid w:val="000C6632"/>
    <w:rsid w:val="000D0B76"/>
    <w:rsid w:val="000D7FC1"/>
    <w:rsid w:val="000E2ED3"/>
    <w:rsid w:val="000F2381"/>
    <w:rsid w:val="0011735E"/>
    <w:rsid w:val="001317B0"/>
    <w:rsid w:val="0013287F"/>
    <w:rsid w:val="001417C1"/>
    <w:rsid w:val="00161782"/>
    <w:rsid w:val="001670C9"/>
    <w:rsid w:val="00173427"/>
    <w:rsid w:val="001771EA"/>
    <w:rsid w:val="001802D0"/>
    <w:rsid w:val="0018440E"/>
    <w:rsid w:val="001A67F5"/>
    <w:rsid w:val="001B0007"/>
    <w:rsid w:val="001B392C"/>
    <w:rsid w:val="001D1CAB"/>
    <w:rsid w:val="001D7351"/>
    <w:rsid w:val="001E2CA0"/>
    <w:rsid w:val="001E32BE"/>
    <w:rsid w:val="001E62EF"/>
    <w:rsid w:val="001F0D7C"/>
    <w:rsid w:val="001F5C19"/>
    <w:rsid w:val="001F63E1"/>
    <w:rsid w:val="001F7C64"/>
    <w:rsid w:val="001F7CCB"/>
    <w:rsid w:val="0020158A"/>
    <w:rsid w:val="00211407"/>
    <w:rsid w:val="00216B47"/>
    <w:rsid w:val="00216C46"/>
    <w:rsid w:val="00223CFE"/>
    <w:rsid w:val="00225831"/>
    <w:rsid w:val="00231BC5"/>
    <w:rsid w:val="002336B8"/>
    <w:rsid w:val="00236BCD"/>
    <w:rsid w:val="002403A4"/>
    <w:rsid w:val="002403DE"/>
    <w:rsid w:val="0024152D"/>
    <w:rsid w:val="00256617"/>
    <w:rsid w:val="002656D7"/>
    <w:rsid w:val="00267BB1"/>
    <w:rsid w:val="00271584"/>
    <w:rsid w:val="00271DE1"/>
    <w:rsid w:val="002722E1"/>
    <w:rsid w:val="00273CC1"/>
    <w:rsid w:val="002852D0"/>
    <w:rsid w:val="002919AD"/>
    <w:rsid w:val="002945AA"/>
    <w:rsid w:val="00297A6F"/>
    <w:rsid w:val="002A233D"/>
    <w:rsid w:val="002B3293"/>
    <w:rsid w:val="002B7B52"/>
    <w:rsid w:val="002C0A7E"/>
    <w:rsid w:val="002C1A9D"/>
    <w:rsid w:val="002E14A6"/>
    <w:rsid w:val="002F47EE"/>
    <w:rsid w:val="002F663A"/>
    <w:rsid w:val="002F6FF8"/>
    <w:rsid w:val="00300D04"/>
    <w:rsid w:val="0030102E"/>
    <w:rsid w:val="003013A1"/>
    <w:rsid w:val="0030175E"/>
    <w:rsid w:val="00302215"/>
    <w:rsid w:val="00303417"/>
    <w:rsid w:val="00316432"/>
    <w:rsid w:val="003171F2"/>
    <w:rsid w:val="0032265C"/>
    <w:rsid w:val="00324217"/>
    <w:rsid w:val="00327E6E"/>
    <w:rsid w:val="00332B2A"/>
    <w:rsid w:val="00334C99"/>
    <w:rsid w:val="003415F0"/>
    <w:rsid w:val="00341E54"/>
    <w:rsid w:val="00342127"/>
    <w:rsid w:val="00347319"/>
    <w:rsid w:val="003675A4"/>
    <w:rsid w:val="00372058"/>
    <w:rsid w:val="003727E8"/>
    <w:rsid w:val="00374C0B"/>
    <w:rsid w:val="00375002"/>
    <w:rsid w:val="0037509F"/>
    <w:rsid w:val="00377A77"/>
    <w:rsid w:val="00382F6B"/>
    <w:rsid w:val="00385202"/>
    <w:rsid w:val="00385569"/>
    <w:rsid w:val="00391406"/>
    <w:rsid w:val="003974BF"/>
    <w:rsid w:val="003A1421"/>
    <w:rsid w:val="003B152A"/>
    <w:rsid w:val="003B233E"/>
    <w:rsid w:val="003B3C9F"/>
    <w:rsid w:val="003B3E9D"/>
    <w:rsid w:val="003B73C1"/>
    <w:rsid w:val="003C3049"/>
    <w:rsid w:val="003C3562"/>
    <w:rsid w:val="003C734F"/>
    <w:rsid w:val="003D1941"/>
    <w:rsid w:val="003D7FB4"/>
    <w:rsid w:val="003E755C"/>
    <w:rsid w:val="003F296C"/>
    <w:rsid w:val="00400646"/>
    <w:rsid w:val="004047DA"/>
    <w:rsid w:val="00405F10"/>
    <w:rsid w:val="00411234"/>
    <w:rsid w:val="00414EF7"/>
    <w:rsid w:val="0041509F"/>
    <w:rsid w:val="00431CAB"/>
    <w:rsid w:val="00434FEE"/>
    <w:rsid w:val="00441AE4"/>
    <w:rsid w:val="00443012"/>
    <w:rsid w:val="0044319A"/>
    <w:rsid w:val="004537DB"/>
    <w:rsid w:val="00453E9F"/>
    <w:rsid w:val="004551CA"/>
    <w:rsid w:val="00455EFF"/>
    <w:rsid w:val="00460841"/>
    <w:rsid w:val="00464646"/>
    <w:rsid w:val="00465AC6"/>
    <w:rsid w:val="00475B01"/>
    <w:rsid w:val="004771BA"/>
    <w:rsid w:val="00481EE0"/>
    <w:rsid w:val="00482FAC"/>
    <w:rsid w:val="004952F9"/>
    <w:rsid w:val="00496B3E"/>
    <w:rsid w:val="00496CA3"/>
    <w:rsid w:val="004A077E"/>
    <w:rsid w:val="004A4D88"/>
    <w:rsid w:val="004A5F17"/>
    <w:rsid w:val="004A7685"/>
    <w:rsid w:val="004B1614"/>
    <w:rsid w:val="004B3772"/>
    <w:rsid w:val="004C0D19"/>
    <w:rsid w:val="004C2582"/>
    <w:rsid w:val="004D0604"/>
    <w:rsid w:val="004D2090"/>
    <w:rsid w:val="004D6B9C"/>
    <w:rsid w:val="004E27E9"/>
    <w:rsid w:val="004E6067"/>
    <w:rsid w:val="00511413"/>
    <w:rsid w:val="0051212A"/>
    <w:rsid w:val="00512817"/>
    <w:rsid w:val="00512E07"/>
    <w:rsid w:val="00515C38"/>
    <w:rsid w:val="00516B09"/>
    <w:rsid w:val="00522C66"/>
    <w:rsid w:val="00526037"/>
    <w:rsid w:val="00526C22"/>
    <w:rsid w:val="0053106E"/>
    <w:rsid w:val="00535756"/>
    <w:rsid w:val="00541A8B"/>
    <w:rsid w:val="0054218F"/>
    <w:rsid w:val="005426E6"/>
    <w:rsid w:val="005547F1"/>
    <w:rsid w:val="00554A7C"/>
    <w:rsid w:val="0055660F"/>
    <w:rsid w:val="00557841"/>
    <w:rsid w:val="00557AF4"/>
    <w:rsid w:val="00560B74"/>
    <w:rsid w:val="005640EB"/>
    <w:rsid w:val="005655F7"/>
    <w:rsid w:val="00571530"/>
    <w:rsid w:val="00574364"/>
    <w:rsid w:val="005834CE"/>
    <w:rsid w:val="0058370D"/>
    <w:rsid w:val="00590133"/>
    <w:rsid w:val="00590B17"/>
    <w:rsid w:val="00596D2B"/>
    <w:rsid w:val="005A1F7A"/>
    <w:rsid w:val="005A3017"/>
    <w:rsid w:val="005A5AEC"/>
    <w:rsid w:val="005A74F3"/>
    <w:rsid w:val="005C4129"/>
    <w:rsid w:val="005C6397"/>
    <w:rsid w:val="005D6032"/>
    <w:rsid w:val="005E358C"/>
    <w:rsid w:val="005E722B"/>
    <w:rsid w:val="005F175A"/>
    <w:rsid w:val="005F284E"/>
    <w:rsid w:val="006001ED"/>
    <w:rsid w:val="00602992"/>
    <w:rsid w:val="00603D99"/>
    <w:rsid w:val="006112E3"/>
    <w:rsid w:val="0061174C"/>
    <w:rsid w:val="0062419F"/>
    <w:rsid w:val="00625AA1"/>
    <w:rsid w:val="00644395"/>
    <w:rsid w:val="00646BA6"/>
    <w:rsid w:val="00651E40"/>
    <w:rsid w:val="00653F01"/>
    <w:rsid w:val="00670DE0"/>
    <w:rsid w:val="00676949"/>
    <w:rsid w:val="006804F5"/>
    <w:rsid w:val="00681F42"/>
    <w:rsid w:val="0068524D"/>
    <w:rsid w:val="0069037A"/>
    <w:rsid w:val="006946A9"/>
    <w:rsid w:val="006959BB"/>
    <w:rsid w:val="0069700D"/>
    <w:rsid w:val="00697BFB"/>
    <w:rsid w:val="006A37A7"/>
    <w:rsid w:val="006A3F2E"/>
    <w:rsid w:val="006C09BC"/>
    <w:rsid w:val="006C36D4"/>
    <w:rsid w:val="006C395A"/>
    <w:rsid w:val="006C4B2E"/>
    <w:rsid w:val="006C60BB"/>
    <w:rsid w:val="006C7AC3"/>
    <w:rsid w:val="006E0CBB"/>
    <w:rsid w:val="006E384B"/>
    <w:rsid w:val="006E4823"/>
    <w:rsid w:val="006E5D64"/>
    <w:rsid w:val="006F6C20"/>
    <w:rsid w:val="006F7DA9"/>
    <w:rsid w:val="007109D8"/>
    <w:rsid w:val="00722429"/>
    <w:rsid w:val="0072375C"/>
    <w:rsid w:val="00723BD5"/>
    <w:rsid w:val="0073541F"/>
    <w:rsid w:val="007471F8"/>
    <w:rsid w:val="007553E3"/>
    <w:rsid w:val="00757474"/>
    <w:rsid w:val="00761A5E"/>
    <w:rsid w:val="00770808"/>
    <w:rsid w:val="0078608E"/>
    <w:rsid w:val="00790422"/>
    <w:rsid w:val="00792278"/>
    <w:rsid w:val="0079495A"/>
    <w:rsid w:val="00797889"/>
    <w:rsid w:val="007A1EDA"/>
    <w:rsid w:val="007A3B38"/>
    <w:rsid w:val="007A4C9C"/>
    <w:rsid w:val="007B013F"/>
    <w:rsid w:val="007B33A7"/>
    <w:rsid w:val="007C1F19"/>
    <w:rsid w:val="007D19AB"/>
    <w:rsid w:val="008027AE"/>
    <w:rsid w:val="00806DEF"/>
    <w:rsid w:val="00806FA0"/>
    <w:rsid w:val="00811D7A"/>
    <w:rsid w:val="0082713B"/>
    <w:rsid w:val="00832C0E"/>
    <w:rsid w:val="008355E9"/>
    <w:rsid w:val="00836A9A"/>
    <w:rsid w:val="0084028C"/>
    <w:rsid w:val="008420AC"/>
    <w:rsid w:val="00842A59"/>
    <w:rsid w:val="008454C3"/>
    <w:rsid w:val="00850320"/>
    <w:rsid w:val="008605E2"/>
    <w:rsid w:val="00862B90"/>
    <w:rsid w:val="00866831"/>
    <w:rsid w:val="00867370"/>
    <w:rsid w:val="0087575A"/>
    <w:rsid w:val="00890450"/>
    <w:rsid w:val="00893A4F"/>
    <w:rsid w:val="00894532"/>
    <w:rsid w:val="00896D3B"/>
    <w:rsid w:val="008A4B79"/>
    <w:rsid w:val="008B08B3"/>
    <w:rsid w:val="008B4550"/>
    <w:rsid w:val="008C0334"/>
    <w:rsid w:val="008C4B6B"/>
    <w:rsid w:val="008E589B"/>
    <w:rsid w:val="008F20C0"/>
    <w:rsid w:val="00902BD0"/>
    <w:rsid w:val="009122E4"/>
    <w:rsid w:val="009123EC"/>
    <w:rsid w:val="00921CDF"/>
    <w:rsid w:val="009229B8"/>
    <w:rsid w:val="00926CB2"/>
    <w:rsid w:val="00932552"/>
    <w:rsid w:val="0093721A"/>
    <w:rsid w:val="00941B7F"/>
    <w:rsid w:val="00961ED6"/>
    <w:rsid w:val="00966D13"/>
    <w:rsid w:val="009708C2"/>
    <w:rsid w:val="00980009"/>
    <w:rsid w:val="0098368E"/>
    <w:rsid w:val="0098457D"/>
    <w:rsid w:val="0098731F"/>
    <w:rsid w:val="00994317"/>
    <w:rsid w:val="009A09B6"/>
    <w:rsid w:val="009A6108"/>
    <w:rsid w:val="009B451C"/>
    <w:rsid w:val="009B51D1"/>
    <w:rsid w:val="009B5C9A"/>
    <w:rsid w:val="009C30A4"/>
    <w:rsid w:val="009C6FAF"/>
    <w:rsid w:val="009D064B"/>
    <w:rsid w:val="009D28F8"/>
    <w:rsid w:val="009D6678"/>
    <w:rsid w:val="009D6F9A"/>
    <w:rsid w:val="009E16D3"/>
    <w:rsid w:val="009E5A5A"/>
    <w:rsid w:val="009F6DE0"/>
    <w:rsid w:val="00A0581E"/>
    <w:rsid w:val="00A100E0"/>
    <w:rsid w:val="00A202FC"/>
    <w:rsid w:val="00A2065B"/>
    <w:rsid w:val="00A2662F"/>
    <w:rsid w:val="00A462CB"/>
    <w:rsid w:val="00A5096E"/>
    <w:rsid w:val="00A53DA4"/>
    <w:rsid w:val="00A60E61"/>
    <w:rsid w:val="00A6460D"/>
    <w:rsid w:val="00A7147A"/>
    <w:rsid w:val="00A72437"/>
    <w:rsid w:val="00A7304A"/>
    <w:rsid w:val="00A74D6A"/>
    <w:rsid w:val="00A77801"/>
    <w:rsid w:val="00A80CC3"/>
    <w:rsid w:val="00A81895"/>
    <w:rsid w:val="00A82B22"/>
    <w:rsid w:val="00A87FA5"/>
    <w:rsid w:val="00A95CA4"/>
    <w:rsid w:val="00A97A2D"/>
    <w:rsid w:val="00AA185A"/>
    <w:rsid w:val="00AA38D9"/>
    <w:rsid w:val="00AA6240"/>
    <w:rsid w:val="00AB6419"/>
    <w:rsid w:val="00AB73C2"/>
    <w:rsid w:val="00AC3AD7"/>
    <w:rsid w:val="00AC49CF"/>
    <w:rsid w:val="00AC5A17"/>
    <w:rsid w:val="00AC5C90"/>
    <w:rsid w:val="00AC7811"/>
    <w:rsid w:val="00AE5DFB"/>
    <w:rsid w:val="00AE7E7E"/>
    <w:rsid w:val="00AF1D55"/>
    <w:rsid w:val="00AF3893"/>
    <w:rsid w:val="00AF6F7F"/>
    <w:rsid w:val="00AF7AA3"/>
    <w:rsid w:val="00AF7B80"/>
    <w:rsid w:val="00AF7BA8"/>
    <w:rsid w:val="00B02B8A"/>
    <w:rsid w:val="00B0627B"/>
    <w:rsid w:val="00B074D2"/>
    <w:rsid w:val="00B231F3"/>
    <w:rsid w:val="00B23432"/>
    <w:rsid w:val="00B26120"/>
    <w:rsid w:val="00B273A8"/>
    <w:rsid w:val="00B27FDA"/>
    <w:rsid w:val="00B37750"/>
    <w:rsid w:val="00B53EAA"/>
    <w:rsid w:val="00B5707D"/>
    <w:rsid w:val="00B63772"/>
    <w:rsid w:val="00B700ED"/>
    <w:rsid w:val="00B72163"/>
    <w:rsid w:val="00B72E39"/>
    <w:rsid w:val="00B800C1"/>
    <w:rsid w:val="00B80ED3"/>
    <w:rsid w:val="00B81CA2"/>
    <w:rsid w:val="00B8727A"/>
    <w:rsid w:val="00B9182D"/>
    <w:rsid w:val="00B922DA"/>
    <w:rsid w:val="00B94BEF"/>
    <w:rsid w:val="00B95D56"/>
    <w:rsid w:val="00B97ED5"/>
    <w:rsid w:val="00BA13A1"/>
    <w:rsid w:val="00BA4CDF"/>
    <w:rsid w:val="00BB1ACD"/>
    <w:rsid w:val="00BC6E91"/>
    <w:rsid w:val="00BD06FE"/>
    <w:rsid w:val="00BD4102"/>
    <w:rsid w:val="00BE13BC"/>
    <w:rsid w:val="00BE6D8D"/>
    <w:rsid w:val="00BF1160"/>
    <w:rsid w:val="00BF69AF"/>
    <w:rsid w:val="00C077BD"/>
    <w:rsid w:val="00C16113"/>
    <w:rsid w:val="00C170A3"/>
    <w:rsid w:val="00C212E3"/>
    <w:rsid w:val="00C21823"/>
    <w:rsid w:val="00C25FB8"/>
    <w:rsid w:val="00C33F26"/>
    <w:rsid w:val="00C34D64"/>
    <w:rsid w:val="00C36A04"/>
    <w:rsid w:val="00C377D4"/>
    <w:rsid w:val="00C4081C"/>
    <w:rsid w:val="00C4094C"/>
    <w:rsid w:val="00C4501C"/>
    <w:rsid w:val="00C45E80"/>
    <w:rsid w:val="00C4779E"/>
    <w:rsid w:val="00C61326"/>
    <w:rsid w:val="00C63F13"/>
    <w:rsid w:val="00C67207"/>
    <w:rsid w:val="00C739AE"/>
    <w:rsid w:val="00C74285"/>
    <w:rsid w:val="00C82319"/>
    <w:rsid w:val="00C860A0"/>
    <w:rsid w:val="00C90330"/>
    <w:rsid w:val="00C903D9"/>
    <w:rsid w:val="00CA4C2B"/>
    <w:rsid w:val="00CB177A"/>
    <w:rsid w:val="00CC1B70"/>
    <w:rsid w:val="00CC4288"/>
    <w:rsid w:val="00CC5E13"/>
    <w:rsid w:val="00CD7605"/>
    <w:rsid w:val="00CE00F4"/>
    <w:rsid w:val="00CE0AC8"/>
    <w:rsid w:val="00CE2AAA"/>
    <w:rsid w:val="00CE3A24"/>
    <w:rsid w:val="00CF1266"/>
    <w:rsid w:val="00CF5D23"/>
    <w:rsid w:val="00D034C6"/>
    <w:rsid w:val="00D06875"/>
    <w:rsid w:val="00D07B84"/>
    <w:rsid w:val="00D11AB9"/>
    <w:rsid w:val="00D1617B"/>
    <w:rsid w:val="00D30629"/>
    <w:rsid w:val="00D41A33"/>
    <w:rsid w:val="00D53085"/>
    <w:rsid w:val="00D55AD6"/>
    <w:rsid w:val="00D56642"/>
    <w:rsid w:val="00D57B76"/>
    <w:rsid w:val="00D60E60"/>
    <w:rsid w:val="00D647EE"/>
    <w:rsid w:val="00D66A2A"/>
    <w:rsid w:val="00D7392C"/>
    <w:rsid w:val="00D85C8A"/>
    <w:rsid w:val="00D8655A"/>
    <w:rsid w:val="00D87BAA"/>
    <w:rsid w:val="00D909BB"/>
    <w:rsid w:val="00D90F48"/>
    <w:rsid w:val="00D92EB3"/>
    <w:rsid w:val="00D95BB8"/>
    <w:rsid w:val="00DA06AB"/>
    <w:rsid w:val="00DA4C42"/>
    <w:rsid w:val="00DA5091"/>
    <w:rsid w:val="00DB0B94"/>
    <w:rsid w:val="00DB2063"/>
    <w:rsid w:val="00DB51DE"/>
    <w:rsid w:val="00DC6443"/>
    <w:rsid w:val="00DC7FF0"/>
    <w:rsid w:val="00DD137E"/>
    <w:rsid w:val="00DD428A"/>
    <w:rsid w:val="00DD779A"/>
    <w:rsid w:val="00DE5945"/>
    <w:rsid w:val="00DF6CD1"/>
    <w:rsid w:val="00DF71BA"/>
    <w:rsid w:val="00E02D76"/>
    <w:rsid w:val="00E10653"/>
    <w:rsid w:val="00E169C0"/>
    <w:rsid w:val="00E17E60"/>
    <w:rsid w:val="00E20101"/>
    <w:rsid w:val="00E227A1"/>
    <w:rsid w:val="00E31E36"/>
    <w:rsid w:val="00E45188"/>
    <w:rsid w:val="00E47596"/>
    <w:rsid w:val="00E60612"/>
    <w:rsid w:val="00E615AE"/>
    <w:rsid w:val="00E661D3"/>
    <w:rsid w:val="00E6698D"/>
    <w:rsid w:val="00E70C20"/>
    <w:rsid w:val="00E81D02"/>
    <w:rsid w:val="00E8300D"/>
    <w:rsid w:val="00E87303"/>
    <w:rsid w:val="00E87475"/>
    <w:rsid w:val="00E908CC"/>
    <w:rsid w:val="00E93113"/>
    <w:rsid w:val="00E96FC8"/>
    <w:rsid w:val="00EA3F2C"/>
    <w:rsid w:val="00EA4AC8"/>
    <w:rsid w:val="00EA6A14"/>
    <w:rsid w:val="00EA6B30"/>
    <w:rsid w:val="00EB5B82"/>
    <w:rsid w:val="00EB6FC9"/>
    <w:rsid w:val="00EC173D"/>
    <w:rsid w:val="00EC7627"/>
    <w:rsid w:val="00EC7F8E"/>
    <w:rsid w:val="00ED2E5E"/>
    <w:rsid w:val="00ED3D63"/>
    <w:rsid w:val="00ED5C5E"/>
    <w:rsid w:val="00EE48BF"/>
    <w:rsid w:val="00EE6BBF"/>
    <w:rsid w:val="00EF476A"/>
    <w:rsid w:val="00EF4AA4"/>
    <w:rsid w:val="00EF5E65"/>
    <w:rsid w:val="00F06431"/>
    <w:rsid w:val="00F0690A"/>
    <w:rsid w:val="00F077E4"/>
    <w:rsid w:val="00F12189"/>
    <w:rsid w:val="00F20AA8"/>
    <w:rsid w:val="00F2470D"/>
    <w:rsid w:val="00F3187E"/>
    <w:rsid w:val="00F336A2"/>
    <w:rsid w:val="00F42036"/>
    <w:rsid w:val="00F478A5"/>
    <w:rsid w:val="00F50564"/>
    <w:rsid w:val="00F5518B"/>
    <w:rsid w:val="00F571CC"/>
    <w:rsid w:val="00F65EE2"/>
    <w:rsid w:val="00F66CA5"/>
    <w:rsid w:val="00F76628"/>
    <w:rsid w:val="00F811B7"/>
    <w:rsid w:val="00F825A2"/>
    <w:rsid w:val="00F9081C"/>
    <w:rsid w:val="00F90883"/>
    <w:rsid w:val="00F95766"/>
    <w:rsid w:val="00FA3286"/>
    <w:rsid w:val="00FC25F3"/>
    <w:rsid w:val="00FC49BC"/>
    <w:rsid w:val="00FD036B"/>
    <w:rsid w:val="00FD3337"/>
    <w:rsid w:val="00FD7B94"/>
    <w:rsid w:val="00FE395D"/>
    <w:rsid w:val="00FE3AC0"/>
    <w:rsid w:val="00FF638B"/>
    <w:rsid w:val="016E4B84"/>
    <w:rsid w:val="35C066EF"/>
    <w:rsid w:val="51E93CD6"/>
    <w:rsid w:val="5EF91919"/>
    <w:rsid w:val="61F5002F"/>
    <w:rsid w:val="63954AD5"/>
    <w:rsid w:val="665348E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19"/>
    <w:qFormat/>
    <w:uiPriority w:val="9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20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12">
    <w:name w:val="Default Paragraph Font"/>
    <w:unhideWhenUsed/>
    <w:uiPriority w:val="1"/>
  </w:style>
  <w:style w:type="table" w:default="1" w:styleId="1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subject"/>
    <w:basedOn w:val="7"/>
    <w:next w:val="7"/>
    <w:link w:val="26"/>
    <w:semiHidden/>
    <w:qFormat/>
    <w:uiPriority w:val="99"/>
    <w:rPr>
      <w:b/>
      <w:bCs/>
    </w:rPr>
  </w:style>
  <w:style w:type="paragraph" w:styleId="7">
    <w:name w:val="annotation text"/>
    <w:basedOn w:val="1"/>
    <w:link w:val="25"/>
    <w:semiHidden/>
    <w:qFormat/>
    <w:uiPriority w:val="99"/>
    <w:pPr>
      <w:jc w:val="left"/>
    </w:pPr>
    <w:rPr>
      <w:sz w:val="22"/>
    </w:rPr>
  </w:style>
  <w:style w:type="paragraph" w:styleId="8">
    <w:name w:val="Date"/>
    <w:basedOn w:val="1"/>
    <w:next w:val="1"/>
    <w:link w:val="24"/>
    <w:semiHidden/>
    <w:qFormat/>
    <w:uiPriority w:val="99"/>
    <w:pPr>
      <w:ind w:left="100" w:leftChars="2500"/>
    </w:pPr>
    <w:rPr>
      <w:kern w:val="0"/>
      <w:sz w:val="20"/>
      <w:szCs w:val="20"/>
    </w:rPr>
  </w:style>
  <w:style w:type="paragraph" w:styleId="9">
    <w:name w:val="Balloon Text"/>
    <w:basedOn w:val="1"/>
    <w:link w:val="27"/>
    <w:semiHidden/>
    <w:qFormat/>
    <w:uiPriority w:val="99"/>
    <w:rPr>
      <w:sz w:val="18"/>
      <w:szCs w:val="18"/>
    </w:rPr>
  </w:style>
  <w:style w:type="paragraph" w:styleId="10">
    <w:name w:val="footer"/>
    <w:basedOn w:val="1"/>
    <w:link w:val="2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1">
    <w:name w:val="header"/>
    <w:basedOn w:val="1"/>
    <w:link w:val="2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13">
    <w:name w:val="Hyperlink"/>
    <w:qFormat/>
    <w:uiPriority w:val="99"/>
    <w:rPr>
      <w:rFonts w:cs="Times New Roman"/>
      <w:color w:val="0000FF"/>
      <w:u w:val="single"/>
    </w:rPr>
  </w:style>
  <w:style w:type="character" w:styleId="14">
    <w:name w:val="annotation reference"/>
    <w:semiHidden/>
    <w:qFormat/>
    <w:uiPriority w:val="99"/>
    <w:rPr>
      <w:rFonts w:cs="Times New Roman"/>
      <w:sz w:val="21"/>
    </w:rPr>
  </w:style>
  <w:style w:type="table" w:styleId="16">
    <w:name w:val="Table Grid"/>
    <w:basedOn w:val="15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  <w:style w:type="character" w:customStyle="1" w:styleId="17">
    <w:name w:val="标题 1 字符"/>
    <w:link w:val="2"/>
    <w:qFormat/>
    <w:locked/>
    <w:uiPriority w:val="99"/>
    <w:rPr>
      <w:rFonts w:cs="Times New Roman"/>
      <w:b/>
      <w:kern w:val="44"/>
      <w:sz w:val="44"/>
    </w:rPr>
  </w:style>
  <w:style w:type="character" w:customStyle="1" w:styleId="18">
    <w:name w:val="标题 2 字符"/>
    <w:link w:val="3"/>
    <w:qFormat/>
    <w:locked/>
    <w:uiPriority w:val="99"/>
    <w:rPr>
      <w:rFonts w:ascii="Cambria" w:hAnsi="Cambria" w:eastAsia="宋体" w:cs="Times New Roman"/>
      <w:b/>
      <w:sz w:val="32"/>
    </w:rPr>
  </w:style>
  <w:style w:type="character" w:customStyle="1" w:styleId="19">
    <w:name w:val="标题 3 字符"/>
    <w:link w:val="4"/>
    <w:qFormat/>
    <w:locked/>
    <w:uiPriority w:val="99"/>
    <w:rPr>
      <w:rFonts w:cs="Times New Roman"/>
      <w:b/>
      <w:sz w:val="32"/>
    </w:rPr>
  </w:style>
  <w:style w:type="character" w:customStyle="1" w:styleId="20">
    <w:name w:val="标题 4 字符"/>
    <w:link w:val="5"/>
    <w:qFormat/>
    <w:locked/>
    <w:uiPriority w:val="99"/>
    <w:rPr>
      <w:rFonts w:ascii="Cambria" w:hAnsi="Cambria" w:eastAsia="宋体" w:cs="Times New Roman"/>
      <w:b/>
      <w:sz w:val="28"/>
    </w:rPr>
  </w:style>
  <w:style w:type="character" w:customStyle="1" w:styleId="21">
    <w:name w:val="页眉 字符"/>
    <w:link w:val="11"/>
    <w:semiHidden/>
    <w:qFormat/>
    <w:locked/>
    <w:uiPriority w:val="99"/>
    <w:rPr>
      <w:rFonts w:cs="Times New Roman"/>
      <w:sz w:val="18"/>
    </w:rPr>
  </w:style>
  <w:style w:type="character" w:customStyle="1" w:styleId="22">
    <w:name w:val="页脚 字符"/>
    <w:link w:val="10"/>
    <w:semiHidden/>
    <w:qFormat/>
    <w:locked/>
    <w:uiPriority w:val="99"/>
    <w:rPr>
      <w:rFonts w:cs="Times New Roman"/>
      <w:sz w:val="18"/>
    </w:rPr>
  </w:style>
  <w:style w:type="paragraph" w:customStyle="1" w:styleId="23">
    <w:name w:val="列出段落1"/>
    <w:basedOn w:val="1"/>
    <w:qFormat/>
    <w:uiPriority w:val="99"/>
    <w:pPr>
      <w:ind w:firstLine="420" w:firstLineChars="200"/>
    </w:pPr>
  </w:style>
  <w:style w:type="character" w:customStyle="1" w:styleId="24">
    <w:name w:val="日期 字符"/>
    <w:link w:val="8"/>
    <w:semiHidden/>
    <w:qFormat/>
    <w:locked/>
    <w:uiPriority w:val="99"/>
    <w:rPr>
      <w:rFonts w:cs="Times New Roman"/>
    </w:rPr>
  </w:style>
  <w:style w:type="character" w:customStyle="1" w:styleId="25">
    <w:name w:val="批注文字 字符"/>
    <w:link w:val="7"/>
    <w:semiHidden/>
    <w:qFormat/>
    <w:locked/>
    <w:uiPriority w:val="99"/>
    <w:rPr>
      <w:rFonts w:cs="Times New Roman"/>
      <w:kern w:val="2"/>
      <w:sz w:val="22"/>
    </w:rPr>
  </w:style>
  <w:style w:type="character" w:customStyle="1" w:styleId="26">
    <w:name w:val="批注主题 字符"/>
    <w:link w:val="6"/>
    <w:semiHidden/>
    <w:qFormat/>
    <w:locked/>
    <w:uiPriority w:val="99"/>
    <w:rPr>
      <w:rFonts w:cs="Times New Roman"/>
      <w:b/>
      <w:kern w:val="2"/>
      <w:sz w:val="22"/>
    </w:rPr>
  </w:style>
  <w:style w:type="character" w:customStyle="1" w:styleId="27">
    <w:name w:val="批注框文本 字符"/>
    <w:link w:val="9"/>
    <w:semiHidden/>
    <w:qFormat/>
    <w:locked/>
    <w:uiPriority w:val="99"/>
    <w:rPr>
      <w:rFonts w:cs="Times New Roman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185</Words>
  <Characters>1056</Characters>
  <Lines>8</Lines>
  <Paragraphs>2</Paragraphs>
  <ScaleCrop>false</ScaleCrop>
  <LinksUpToDate>false</LinksUpToDate>
  <CharactersWithSpaces>1239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2019-10-09T00:21:00Z</dcterms:created>
  <dc:creator>xz1</dc:creator>
  <cp:lastModifiedBy>黄焕炜</cp:lastModifiedBy>
  <cp:lastPrinted>2019-09-26T07:05:00Z</cp:lastPrinted>
  <dcterms:modified xsi:type="dcterms:W3CDTF">2025-07-12T06:19:30Z</dcterms:modified>
  <cp:revision>200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