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1、项目名称：中山市中医</w:t>
      </w:r>
      <w:r>
        <w:rPr>
          <w:rFonts w:hint="eastAsia" w:asciiTheme="minorEastAsia" w:hAnsiTheme="minorEastAsia" w:eastAsiaTheme="minorEastAsia"/>
          <w:lang w:eastAsia="zh-CN"/>
        </w:rPr>
        <w:t>院门诊走廊护栏</w:t>
      </w:r>
      <w:r>
        <w:rPr>
          <w:rFonts w:hint="eastAsia" w:asciiTheme="minorEastAsia" w:hAnsiTheme="minorEastAsia" w:eastAsiaTheme="minorEastAsia"/>
        </w:rPr>
        <w:t>采购</w:t>
      </w:r>
      <w:r>
        <w:rPr>
          <w:rFonts w:hint="eastAsia" w:asciiTheme="minorEastAsia" w:hAnsiTheme="minorEastAsia" w:eastAsiaTheme="minorEastAsia"/>
          <w:lang w:eastAsia="zh-CN"/>
        </w:rPr>
        <w:t>安装</w:t>
      </w:r>
      <w:r>
        <w:rPr>
          <w:rFonts w:hint="eastAsia" w:asciiTheme="minorEastAsia" w:hAnsiTheme="minorEastAsia" w:eastAsiaTheme="minorEastAsia"/>
        </w:rPr>
        <w:t>项目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2、项目内容：</w:t>
      </w:r>
      <w:r>
        <w:rPr>
          <w:rFonts w:hint="eastAsia" w:asciiTheme="minorEastAsia" w:hAnsiTheme="minorEastAsia" w:eastAsiaTheme="minorEastAsia"/>
          <w:lang w:eastAsia="zh-CN"/>
        </w:rPr>
        <w:t>医院门诊外走廊原有不锈钢护栏高度不足</w:t>
      </w:r>
      <w:r>
        <w:rPr>
          <w:rFonts w:hint="eastAsia" w:asciiTheme="minorEastAsia" w:hAnsiTheme="minorEastAsia" w:eastAsiaTheme="minorEastAsia"/>
          <w:lang w:val="en-US" w:eastAsia="zh-CN"/>
        </w:rPr>
        <w:t>，现需定制采购一批护栏进行加高，以满足安全防护需求</w:t>
      </w:r>
      <w:r>
        <w:rPr>
          <w:rFonts w:hint="eastAsia" w:asciiTheme="minorEastAsia" w:hAnsiTheme="minorEastAsia" w:eastAsiaTheme="minorEastAsia"/>
        </w:rPr>
        <w:t>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3、项目上限价：￥</w:t>
      </w:r>
      <w:r>
        <w:rPr>
          <w:rFonts w:hint="eastAsia" w:asciiTheme="minorEastAsia" w:hAnsiTheme="minorEastAsia" w:eastAsiaTheme="minorEastAsia"/>
          <w:lang w:val="en-US" w:eastAsia="zh-CN"/>
        </w:rPr>
        <w:t>35</w:t>
      </w:r>
      <w:r>
        <w:rPr>
          <w:rFonts w:hint="eastAsia" w:asciiTheme="minorEastAsia" w:hAnsiTheme="minorEastAsia" w:eastAsiaTheme="minorEastAsia"/>
          <w:lang w:eastAsia="zh-CN"/>
        </w:rPr>
        <w:t>万</w:t>
      </w:r>
      <w:r>
        <w:rPr>
          <w:rFonts w:hint="eastAsia" w:asciiTheme="minorEastAsia" w:hAnsiTheme="minorEastAsia" w:eastAsiaTheme="minorEastAsia"/>
        </w:rPr>
        <w:t>元，超过采购上限价的属于无效响应。</w:t>
      </w:r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、供货期：合同签订后</w:t>
      </w: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45</w:t>
      </w:r>
      <w:r>
        <w:rPr>
          <w:rFonts w:hint="eastAsia" w:cs="宋体" w:asciiTheme="minorEastAsia" w:hAnsiTheme="minorEastAsia" w:eastAsiaTheme="minorEastAsia"/>
          <w:szCs w:val="21"/>
        </w:rPr>
        <w:t>天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cs="宋体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</w:rPr>
        <w:t>报价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cs="宋体" w:asciiTheme="minorEastAsia" w:hAnsiTheme="minorEastAsia" w:eastAsiaTheme="minorEastAsia"/>
          <w:bCs/>
          <w:szCs w:val="21"/>
        </w:rPr>
        <w:t>应包括</w:t>
      </w:r>
      <w:r>
        <w:rPr>
          <w:rFonts w:hint="eastAsia" w:cs="宋体" w:asciiTheme="minorEastAsia" w:hAnsiTheme="minorEastAsia" w:eastAsiaTheme="minorEastAsia"/>
          <w:bCs/>
          <w:szCs w:val="21"/>
          <w:lang w:eastAsia="zh-CN"/>
        </w:rPr>
        <w:t>物资</w:t>
      </w:r>
      <w:r>
        <w:rPr>
          <w:rFonts w:hint="eastAsia" w:cs="宋体" w:asciiTheme="minorEastAsia" w:hAnsiTheme="minorEastAsia" w:eastAsiaTheme="minorEastAsia"/>
          <w:bCs/>
          <w:szCs w:val="21"/>
        </w:rPr>
        <w:t>采购、</w:t>
      </w:r>
      <w:r>
        <w:rPr>
          <w:rFonts w:hint="eastAsia" w:cs="宋体" w:asciiTheme="minorEastAsia" w:hAnsiTheme="minorEastAsia" w:eastAsiaTheme="minorEastAsia"/>
          <w:bCs/>
          <w:szCs w:val="21"/>
          <w:lang w:eastAsia="zh-CN"/>
        </w:rPr>
        <w:t>运输搬运、</w:t>
      </w:r>
      <w:r>
        <w:rPr>
          <w:rFonts w:hint="eastAsia" w:cs="宋体" w:asciiTheme="minorEastAsia" w:hAnsiTheme="minorEastAsia" w:eastAsiaTheme="minorEastAsia"/>
          <w:bCs/>
          <w:szCs w:val="21"/>
        </w:rPr>
        <w:t>安装、验收、售后服务、各种税费及合同实施过程中的不可预见费用等。</w:t>
      </w:r>
    </w:p>
    <w:p>
      <w:pPr>
        <w:widowControl/>
        <w:spacing w:line="360" w:lineRule="auto"/>
        <w:ind w:firstLine="420" w:firstLineChars="200"/>
        <w:jc w:val="left"/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bCs/>
          <w:szCs w:val="21"/>
          <w:lang w:val="en-US" w:eastAsia="zh-CN"/>
        </w:rPr>
        <w:t>6、安装示意图见附件。</w:t>
      </w:r>
      <w:bookmarkStart w:id="1" w:name="_GoBack"/>
      <w:bookmarkEnd w:id="1"/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二、采购</w:t>
      </w:r>
      <w:r>
        <w:rPr>
          <w:b/>
          <w:sz w:val="24"/>
        </w:rPr>
        <w:t>清单</w:t>
      </w:r>
    </w:p>
    <w:tbl>
      <w:tblPr>
        <w:tblW w:w="9158" w:type="dxa"/>
        <w:jc w:val="center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1275"/>
        <w:gridCol w:w="3020"/>
        <w:gridCol w:w="888"/>
        <w:gridCol w:w="1012"/>
        <w:gridCol w:w="2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扁钢立柱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40*8mm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不锈钢扁钢、900mm/条、焊接立柱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307.80 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开20mm圆孔及38*1.2mm不锈钢圆管椭圆孔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方通立柱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38*38*1.2mm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不锈钢方通、1500mm/条、焊接立柱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开20mm圆孔及38*1.2mm不锈钢圆管椭圆孔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圆管护栏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19*1.2mm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不锈钢拉丝圆管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焊接点除锈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圆管护栏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38*1.2mm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304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不锈钢拉丝圆管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焊接点除锈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 w:val="24"/>
          <w:lang w:eastAsia="zh-CN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</w:t>
      </w:r>
      <w:r>
        <w:rPr>
          <w:rFonts w:hint="eastAsia" w:ascii="宋体" w:hAnsi="宋体"/>
          <w:b/>
          <w:sz w:val="24"/>
        </w:rPr>
        <w:t>、质量要求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</w:t>
      </w:r>
      <w:bookmarkStart w:id="0" w:name="OLE_LINK1"/>
      <w:r>
        <w:rPr>
          <w:rFonts w:hint="eastAsia" w:asciiTheme="minorEastAsia" w:hAnsiTheme="minorEastAsia" w:eastAsiaTheme="minorEastAsia"/>
          <w:color w:val="000000"/>
          <w:szCs w:val="21"/>
        </w:rPr>
        <w:t>供应商提供的货物</w:t>
      </w:r>
      <w:bookmarkEnd w:id="0"/>
      <w:r>
        <w:rPr>
          <w:rFonts w:hint="eastAsia" w:asciiTheme="minorEastAsia" w:hAnsiTheme="minorEastAsia" w:eastAsiaTheme="minorEastAsia"/>
          <w:color w:val="000000"/>
          <w:szCs w:val="21"/>
        </w:rPr>
        <w:t>质量必须符合国家相关标准、行业标准及项目要求</w:t>
      </w:r>
      <w:r>
        <w:rPr>
          <w:rFonts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、供应商对由于设计工艺或材料的缺陷所发生的任何故障负责，所需费用由供应商承担。</w:t>
      </w:r>
    </w:p>
    <w:p>
      <w:pPr>
        <w:spacing w:line="360" w:lineRule="auto"/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3、质保期不少于两年，</w:t>
      </w:r>
      <w:r>
        <w:rPr>
          <w:rFonts w:hint="eastAsia" w:cs="宋体" w:asciiTheme="minorEastAsia" w:hAnsiTheme="minorEastAsia" w:eastAsiaTheme="minorEastAsia"/>
          <w:bCs/>
          <w:szCs w:val="21"/>
        </w:rPr>
        <w:t>质保期内供应商提供“包退、包换、包修”的质量“三包”服务，一切维修费用、备品备件费用均由供应商免费提供。</w:t>
      </w:r>
    </w:p>
    <w:p>
      <w:pPr>
        <w:widowControl/>
        <w:spacing w:line="360" w:lineRule="auto"/>
        <w:jc w:val="left"/>
        <w:rPr>
          <w:b/>
          <w:sz w:val="24"/>
        </w:rPr>
      </w:pPr>
    </w:p>
    <w:p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五、服务要求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/>
          <w:szCs w:val="21"/>
        </w:rPr>
        <w:t>、文明施工，安装现场应严格遵守现场管理制度，服从主管部门的管理，保持环境卫生清洁，做好现场垃圾的处理工作，减少不必要的噪音，以免影响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正常的医疗秩序</w:t>
      </w:r>
      <w:r>
        <w:rPr>
          <w:rFonts w:hint="eastAsia"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安装现场设立安全警告牌，危险区域注意现场围蔽，安装期间注意用电安全、高空作业安全、防火安全，操作规范，保障自己与他人的生命财产安全，安装期间，由于供应商问题造成的事故，一切责任由供应商负责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、安装期间应注意原有设备设施的保护，一旦造成损坏，供应商应负责修复或照价赔偿。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szCs w:val="21"/>
        </w:rPr>
        <w:t>、安装期间，人员安全防护措施需按要求进行配备，一旦发现有危险施工等违规行为，一律严惩；特种作业人员需经过相关培训并持证上岗，上岗前需进行相应的安全培训。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质保期内，供应商</w:t>
      </w:r>
      <w:r>
        <w:rPr>
          <w:rFonts w:hint="eastAsia" w:asciiTheme="minorEastAsia" w:hAnsiTheme="minorEastAsia" w:eastAsiaTheme="minorEastAsia"/>
          <w:color w:val="000000"/>
          <w:szCs w:val="21"/>
        </w:rPr>
        <w:t>接到报修通知后，必须2小时内回应，12小时内派员上门，48小时内解决问题。</w:t>
      </w:r>
    </w:p>
    <w:p>
      <w:pPr>
        <w:widowControl/>
        <w:spacing w:line="360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六、验收与结算</w:t>
      </w:r>
    </w:p>
    <w:p>
      <w:pPr>
        <w:spacing w:line="360" w:lineRule="auto"/>
        <w:rPr>
          <w:rFonts w:asciiTheme="minorEastAsia" w:hAnsiTheme="minorEastAsia" w:eastAsiaTheme="minorEastAsia"/>
          <w:color w:val="000000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1、供应商将货物送到采购人指定地点，安装调试后按</w:t>
      </w:r>
      <w:r>
        <w:rPr>
          <w:rFonts w:hint="eastAsia" w:asciiTheme="minorEastAsia" w:hAnsiTheme="minorEastAsia" w:eastAsiaTheme="minorEastAsia"/>
          <w:color w:val="000000"/>
        </w:rPr>
        <w:t>国家相关标准、行业标准及项目要求进行验收</w:t>
      </w:r>
      <w:r>
        <w:rPr>
          <w:rFonts w:asciiTheme="minorEastAsia" w:hAnsiTheme="minorEastAsia" w:eastAsiaTheme="minorEastAsia"/>
          <w:color w:val="000000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</w:rPr>
        <w:t>2、</w:t>
      </w:r>
      <w:r>
        <w:rPr>
          <w:rFonts w:hint="eastAsia" w:asciiTheme="minorEastAsia" w:hAnsiTheme="minorEastAsia" w:eastAsiaTheme="minorEastAsia"/>
        </w:rPr>
        <w:t>项目</w:t>
      </w:r>
      <w:r>
        <w:rPr>
          <w:rFonts w:asciiTheme="minorEastAsia" w:hAnsiTheme="minorEastAsia" w:eastAsiaTheme="minorEastAsia"/>
        </w:rPr>
        <w:t>验收合格，凭</w:t>
      </w:r>
      <w:r>
        <w:rPr>
          <w:rFonts w:hint="eastAsia" w:asciiTheme="minorEastAsia" w:hAnsiTheme="minorEastAsia" w:eastAsiaTheme="minorEastAsia"/>
        </w:rPr>
        <w:t>供应商</w:t>
      </w:r>
      <w:r>
        <w:rPr>
          <w:rFonts w:asciiTheme="minorEastAsia" w:hAnsiTheme="minorEastAsia" w:eastAsiaTheme="minorEastAsia"/>
        </w:rPr>
        <w:t>开具的全额发票</w:t>
      </w:r>
      <w:r>
        <w:rPr>
          <w:rFonts w:hint="eastAsia" w:asciiTheme="minorEastAsia" w:hAnsiTheme="minorEastAsia" w:eastAsiaTheme="minorEastAsia"/>
        </w:rPr>
        <w:t>和验收资料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采购</w:t>
      </w:r>
      <w:r>
        <w:rPr>
          <w:rFonts w:asciiTheme="minorEastAsia" w:hAnsiTheme="minorEastAsia" w:eastAsiaTheme="minorEastAsia"/>
        </w:rPr>
        <w:t>人于60</w:t>
      </w:r>
      <w:r>
        <w:rPr>
          <w:rFonts w:hint="eastAsia" w:asciiTheme="minorEastAsia" w:hAnsiTheme="minorEastAsia" w:eastAsiaTheme="minorEastAsia"/>
        </w:rPr>
        <w:t>个自然日</w:t>
      </w:r>
      <w:r>
        <w:rPr>
          <w:rFonts w:asciiTheme="minorEastAsia" w:hAnsiTheme="minorEastAsia" w:eastAsiaTheme="minorEastAsia"/>
        </w:rPr>
        <w:t>内支付</w:t>
      </w:r>
      <w:r>
        <w:rPr>
          <w:rFonts w:hint="eastAsia" w:asciiTheme="minorEastAsia" w:hAnsiTheme="minorEastAsia" w:eastAsiaTheme="minorEastAsia"/>
        </w:rPr>
        <w:t>合同款项；如中标人为中小企业，按中小企业相关法律法规或政策执行。</w:t>
      </w:r>
    </w:p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62464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047E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1CE1"/>
    <w:rsid w:val="0065291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43E57"/>
    <w:rsid w:val="00744AFD"/>
    <w:rsid w:val="007471F8"/>
    <w:rsid w:val="007510B3"/>
    <w:rsid w:val="007515AD"/>
    <w:rsid w:val="007520BC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0F46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6DC4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5AA9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03A4"/>
    <w:rsid w:val="00D11AB9"/>
    <w:rsid w:val="00D12C88"/>
    <w:rsid w:val="00D1617B"/>
    <w:rsid w:val="00D1688F"/>
    <w:rsid w:val="00D30629"/>
    <w:rsid w:val="00D44C81"/>
    <w:rsid w:val="00D45387"/>
    <w:rsid w:val="00D45864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3293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0F55"/>
    <w:rsid w:val="00FD7B94"/>
    <w:rsid w:val="00FE395D"/>
    <w:rsid w:val="00FE3AC0"/>
    <w:rsid w:val="00FE4547"/>
    <w:rsid w:val="00FF21C2"/>
    <w:rsid w:val="00FF5903"/>
    <w:rsid w:val="00FF638B"/>
    <w:rsid w:val="02706B78"/>
    <w:rsid w:val="02EC7EC0"/>
    <w:rsid w:val="15F844A0"/>
    <w:rsid w:val="1E2B0C78"/>
    <w:rsid w:val="237E7269"/>
    <w:rsid w:val="255A421F"/>
    <w:rsid w:val="291D7BB9"/>
    <w:rsid w:val="2A7F1144"/>
    <w:rsid w:val="2DAC44E5"/>
    <w:rsid w:val="2EFF0993"/>
    <w:rsid w:val="308E426C"/>
    <w:rsid w:val="33202FF1"/>
    <w:rsid w:val="3547008D"/>
    <w:rsid w:val="381F7624"/>
    <w:rsid w:val="3EC4323F"/>
    <w:rsid w:val="45B15FE5"/>
    <w:rsid w:val="49C914B7"/>
    <w:rsid w:val="4AED1F2C"/>
    <w:rsid w:val="4F9F3DFD"/>
    <w:rsid w:val="558C25F4"/>
    <w:rsid w:val="55D4298E"/>
    <w:rsid w:val="57750023"/>
    <w:rsid w:val="5C7727E9"/>
    <w:rsid w:val="61960834"/>
    <w:rsid w:val="66B95181"/>
    <w:rsid w:val="685B3115"/>
    <w:rsid w:val="6B01166C"/>
    <w:rsid w:val="6B7F6325"/>
    <w:rsid w:val="6F6C6D1D"/>
    <w:rsid w:val="71B31F3E"/>
    <w:rsid w:val="724C0E3B"/>
    <w:rsid w:val="73A23CF3"/>
    <w:rsid w:val="74014D3F"/>
    <w:rsid w:val="79805345"/>
    <w:rsid w:val="7D667C47"/>
    <w:rsid w:val="7D8017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41"/>
    <w:basedOn w:val="10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328</Words>
  <Characters>1870</Characters>
  <Lines>15</Lines>
  <Paragraphs>4</Paragraphs>
  <ScaleCrop>false</ScaleCrop>
  <LinksUpToDate>false</LinksUpToDate>
  <CharactersWithSpaces>2194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黄焕炜</cp:lastModifiedBy>
  <cp:lastPrinted>2023-12-14T10:29:00Z</cp:lastPrinted>
  <dcterms:modified xsi:type="dcterms:W3CDTF">2025-09-05T01:42:51Z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2C75BE3C294C4FBD99F1D1892FDCF162</vt:lpwstr>
  </property>
</Properties>
</file>