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rFonts w:hint="eastAsia"/>
          <w:b/>
          <w:sz w:val="24"/>
        </w:rPr>
      </w:pPr>
    </w:p>
    <w:p>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项目名称：中山市中医</w:t>
      </w:r>
      <w:r>
        <w:rPr>
          <w:rFonts w:hint="eastAsia" w:asciiTheme="minorEastAsia" w:hAnsiTheme="minorEastAsia" w:eastAsiaTheme="minorEastAsia" w:cstheme="minorEastAsia"/>
          <w:lang w:eastAsia="zh-CN"/>
        </w:rPr>
        <w:t>院综合楼家具</w:t>
      </w:r>
      <w:r>
        <w:rPr>
          <w:rFonts w:hint="eastAsia" w:asciiTheme="minorEastAsia" w:hAnsiTheme="minorEastAsia" w:eastAsiaTheme="minorEastAsia" w:cstheme="minorEastAsia"/>
        </w:rPr>
        <w:t>采购项目</w:t>
      </w:r>
    </w:p>
    <w:p>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项目内容：</w:t>
      </w:r>
      <w:r>
        <w:rPr>
          <w:rFonts w:hint="eastAsia" w:asciiTheme="minorEastAsia" w:hAnsiTheme="minorEastAsia" w:eastAsiaTheme="minorEastAsia" w:cstheme="minorEastAsia"/>
          <w:lang w:eastAsia="zh-CN"/>
        </w:rPr>
        <w:t>医院新建一栋</w:t>
      </w:r>
      <w:r>
        <w:rPr>
          <w:rFonts w:hint="eastAsia" w:asciiTheme="minorEastAsia" w:hAnsiTheme="minorEastAsia" w:eastAsiaTheme="minorEastAsia" w:cstheme="minorEastAsia"/>
          <w:lang w:val="en-US" w:eastAsia="zh-CN"/>
        </w:rPr>
        <w:t>7.4万平方米的综合楼，需配套采购一批家具</w:t>
      </w:r>
      <w:r>
        <w:rPr>
          <w:rFonts w:hint="eastAsia" w:asciiTheme="minorEastAsia" w:hAnsiTheme="minorEastAsia" w:eastAsiaTheme="minorEastAsia" w:cstheme="minorEastAsia"/>
        </w:rPr>
        <w:t>。</w:t>
      </w:r>
    </w:p>
    <w:p>
      <w:pPr>
        <w:widowControl/>
        <w:tabs>
          <w:tab w:val="center" w:pos="4363"/>
        </w:tabs>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项目上限价：￥</w:t>
      </w:r>
      <w:r>
        <w:rPr>
          <w:rFonts w:hint="eastAsia" w:asciiTheme="minorEastAsia" w:hAnsiTheme="minorEastAsia" w:eastAsiaTheme="minorEastAsia" w:cstheme="minorEastAsia"/>
          <w:lang w:val="en-US" w:eastAsia="zh-CN"/>
        </w:rPr>
        <w:t>700</w:t>
      </w:r>
      <w:r>
        <w:rPr>
          <w:rFonts w:hint="eastAsia" w:asciiTheme="minorEastAsia" w:hAnsiTheme="minorEastAsia" w:eastAsiaTheme="minorEastAsia" w:cstheme="minorEastAsia"/>
          <w:lang w:eastAsia="zh-CN"/>
        </w:rPr>
        <w:t>万</w:t>
      </w:r>
      <w:r>
        <w:rPr>
          <w:rFonts w:hint="eastAsia" w:asciiTheme="minorEastAsia" w:hAnsiTheme="minorEastAsia" w:eastAsiaTheme="minorEastAsia" w:cstheme="minorEastAsia"/>
        </w:rPr>
        <w:t>元，超过采购上限价的属于无效响应。</w:t>
      </w:r>
    </w:p>
    <w:p>
      <w:pPr>
        <w:widowControl/>
        <w:tabs>
          <w:tab w:val="center" w:pos="4363"/>
        </w:tabs>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供货期：</w:t>
      </w:r>
      <w:r>
        <w:rPr>
          <w:rFonts w:hint="eastAsia" w:asciiTheme="minorEastAsia" w:hAnsiTheme="minorEastAsia" w:eastAsiaTheme="minorEastAsia"/>
          <w:lang w:eastAsia="zh-CN"/>
        </w:rPr>
        <w:t>供应商须在合同签订后</w:t>
      </w:r>
      <w:r>
        <w:rPr>
          <w:rFonts w:hint="eastAsia" w:asciiTheme="minorEastAsia" w:hAnsiTheme="minorEastAsia" w:eastAsiaTheme="minorEastAsia"/>
          <w:lang w:val="en-US" w:eastAsia="zh-CN"/>
        </w:rPr>
        <w:t>60</w:t>
      </w:r>
      <w:r>
        <w:rPr>
          <w:rFonts w:hint="eastAsia" w:asciiTheme="minorEastAsia" w:hAnsiTheme="minorEastAsia" w:eastAsiaTheme="minorEastAsia"/>
          <w:lang w:eastAsia="zh-CN"/>
        </w:rPr>
        <w:t>天内完成生产</w:t>
      </w:r>
      <w:r>
        <w:rPr>
          <w:rFonts w:hint="eastAsia" w:asciiTheme="minorEastAsia" w:hAnsiTheme="minorEastAsia" w:eastAsiaTheme="minorEastAsia"/>
        </w:rPr>
        <w:t>并安装调试后交付采购人使用。</w:t>
      </w:r>
    </w:p>
    <w:p>
      <w:pPr>
        <w:widowControl/>
        <w:spacing w:line="360" w:lineRule="auto"/>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rPr>
        <w:t>报价：总价包干，</w:t>
      </w:r>
      <w:r>
        <w:rPr>
          <w:rFonts w:hint="eastAsia" w:asciiTheme="minorEastAsia" w:hAnsiTheme="minorEastAsia" w:eastAsiaTheme="minorEastAsia" w:cstheme="minorEastAsia"/>
          <w:bCs/>
          <w:szCs w:val="21"/>
        </w:rPr>
        <w:t>报价应包括</w:t>
      </w:r>
      <w:r>
        <w:rPr>
          <w:rFonts w:hint="eastAsia" w:asciiTheme="minorEastAsia" w:hAnsiTheme="minorEastAsia" w:eastAsiaTheme="minorEastAsia" w:cstheme="minorEastAsia"/>
          <w:bCs/>
          <w:szCs w:val="21"/>
          <w:lang w:eastAsia="zh-CN"/>
        </w:rPr>
        <w:t>材料</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eastAsia="zh-CN"/>
        </w:rPr>
        <w:t>加工、</w:t>
      </w:r>
      <w:r>
        <w:rPr>
          <w:rFonts w:hint="eastAsia" w:asciiTheme="minorEastAsia" w:hAnsiTheme="minorEastAsia" w:eastAsiaTheme="minorEastAsia" w:cstheme="minorEastAsia"/>
          <w:sz w:val="21"/>
        </w:rPr>
        <w:t>运输、装卸、搬运、</w:t>
      </w:r>
      <w:r>
        <w:rPr>
          <w:rFonts w:hint="eastAsia" w:asciiTheme="minorEastAsia" w:hAnsiTheme="minorEastAsia" w:eastAsiaTheme="minorEastAsia" w:cstheme="minorEastAsia"/>
          <w:bCs/>
          <w:szCs w:val="21"/>
        </w:rPr>
        <w:t>安装调试、验收、售后服务、各种税费及合同实施过程中的不可预见费用等。</w:t>
      </w:r>
    </w:p>
    <w:p>
      <w:pPr>
        <w:widowControl/>
        <w:spacing w:line="360" w:lineRule="auto"/>
        <w:ind w:firstLine="420" w:firstLineChars="200"/>
        <w:jc w:val="left"/>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6.采购明细表见附件。</w:t>
      </w:r>
    </w:p>
    <w:p>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二、质量要求</w:t>
      </w:r>
    </w:p>
    <w:p>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提供的货物是用优良的工艺和优质材料制造而成的并符合最新的中华人民共和国国家安全环保标准、国家有关产品质量认证标准。</w:t>
      </w:r>
    </w:p>
    <w:p>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提供的货物(含零配件、随机工具等) 是全新、表面和内部均无瑕疵的原厂正品，并需随货物装箱提供制造厂的设备检验、测试报告、检验合格证书、质量保证书和保修书等证明文件。</w:t>
      </w:r>
    </w:p>
    <w:p>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必须保证提供的货物不侵犯任何第三方的专利、商标或版权，否则，</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必须承担对第三方的专利或版权的侵权责任并承担因此而发生的所有费用。</w:t>
      </w:r>
    </w:p>
    <w:p>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所有家具及安装应坚固、实用、安全、美观(端正平整)。</w:t>
      </w:r>
    </w:p>
    <w:p>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所有面材、基材、油漆、胶水、五金配件、台面工艺等符合采购文件要求，其技术要求应等同或优于采购文件所规定的技术要求，</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应提供必要的证明文件以证明该产品的技术性能，可靠性、安全性及耐用性。</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lang w:val="en-US" w:eastAsia="zh-CN"/>
        </w:rPr>
        <w:t>.</w:t>
      </w:r>
      <w:r>
        <w:rPr>
          <w:rFonts w:hint="eastAsia" w:asciiTheme="minorEastAsia" w:hAnsiTheme="minorEastAsia" w:eastAsiaTheme="minorEastAsia"/>
        </w:rPr>
        <w:t>产品包装整齐，装配后紧密牢固，所有产品的木材、板面经喷油、打磨，光滑以确保人体免受损伤，油漆采用国家现行相关标准环保漆。产品符合国家现行相关标准和厂家出厂标准，要严格经过杀菌、杀虫处理，技术上不会变形</w:t>
      </w:r>
      <w:r>
        <w:rPr>
          <w:rFonts w:hint="eastAsia" w:asciiTheme="minorEastAsia" w:hAnsiTheme="minorEastAsia" w:eastAsiaTheme="minorEastAsia"/>
          <w:lang w:eastAsia="zh-CN"/>
        </w:rPr>
        <w:t>、</w:t>
      </w:r>
      <w:r>
        <w:rPr>
          <w:rFonts w:hint="eastAsia" w:asciiTheme="minorEastAsia" w:hAnsiTheme="minorEastAsia" w:eastAsiaTheme="minorEastAsia"/>
        </w:rPr>
        <w:t>生虫，含水率符合使用地区平均平衡含水率。面材、基材(素板)、油漆、胶水中的甲醛、甲苯与二甲苯等苯系物质的释放量均应符合需求清单中材质要求所列出的限量标准。</w:t>
      </w:r>
    </w:p>
    <w:p>
      <w:pPr>
        <w:widowControl/>
        <w:tabs>
          <w:tab w:val="center" w:pos="4363"/>
        </w:tabs>
        <w:spacing w:line="360" w:lineRule="auto"/>
        <w:ind w:firstLine="420" w:firstLineChars="200"/>
        <w:jc w:val="left"/>
        <w:rPr>
          <w:rFonts w:hint="eastAsia" w:asciiTheme="minorEastAsia" w:hAnsiTheme="minorEastAsia" w:eastAsiaTheme="minorEastAsia"/>
          <w:highlight w:val="green"/>
          <w:lang w:eastAsia="zh-CN"/>
        </w:rPr>
      </w:pPr>
      <w:r>
        <w:rPr>
          <w:rFonts w:hint="eastAsia" w:asciiTheme="minorEastAsia" w:hAnsiTheme="minorEastAsia" w:eastAsiaTheme="minorEastAsia"/>
          <w:highlight w:val="green"/>
        </w:rPr>
        <w:t>7</w:t>
      </w:r>
      <w:r>
        <w:rPr>
          <w:rFonts w:hint="eastAsia" w:asciiTheme="minorEastAsia" w:hAnsiTheme="minorEastAsia" w:eastAsiaTheme="minorEastAsia"/>
          <w:highlight w:val="green"/>
          <w:lang w:val="en-US" w:eastAsia="zh-CN"/>
        </w:rPr>
        <w:t>.</w:t>
      </w:r>
      <w:bookmarkStart w:id="0" w:name="_GoBack"/>
      <w:bookmarkEnd w:id="0"/>
      <w:r>
        <w:rPr>
          <w:rFonts w:hint="eastAsia" w:asciiTheme="minorEastAsia" w:hAnsiTheme="minorEastAsia" w:eastAsiaTheme="minorEastAsia"/>
          <w:highlight w:val="green"/>
          <w:lang w:eastAsia="zh-CN"/>
        </w:rPr>
        <w:t>供应商所提供的</w:t>
      </w:r>
      <w:r>
        <w:rPr>
          <w:rFonts w:hint="eastAsia" w:asciiTheme="minorEastAsia" w:hAnsiTheme="minorEastAsia" w:eastAsiaTheme="minorEastAsia"/>
          <w:highlight w:val="green"/>
        </w:rPr>
        <w:t>产品应具备由</w:t>
      </w:r>
      <w:r>
        <w:rPr>
          <w:rFonts w:hint="eastAsia" w:asciiTheme="minorEastAsia" w:hAnsiTheme="minorEastAsia" w:eastAsiaTheme="minorEastAsia"/>
          <w:highlight w:val="green"/>
          <w:lang w:eastAsia="zh-CN"/>
        </w:rPr>
        <w:t>有资质的第三方</w:t>
      </w:r>
      <w:r>
        <w:rPr>
          <w:rFonts w:hint="eastAsia" w:asciiTheme="minorEastAsia" w:hAnsiTheme="minorEastAsia" w:eastAsiaTheme="minorEastAsia"/>
          <w:highlight w:val="green"/>
        </w:rPr>
        <w:t>检验机构出具的产品成品检测报告</w:t>
      </w:r>
      <w:r>
        <w:rPr>
          <w:rFonts w:hint="eastAsia" w:asciiTheme="minorEastAsia" w:hAnsiTheme="minorEastAsia" w:eastAsiaTheme="minorEastAsia"/>
          <w:highlight w:val="green"/>
          <w:lang w:eastAsia="zh-CN"/>
        </w:rPr>
        <w:t>。</w:t>
      </w:r>
    </w:p>
    <w:p>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包装和运输</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eastAsia="zh-CN"/>
        </w:rPr>
        <w:t>供应商</w:t>
      </w:r>
      <w:r>
        <w:rPr>
          <w:rFonts w:hint="eastAsia" w:asciiTheme="minorEastAsia" w:hAnsiTheme="minorEastAsia" w:eastAsiaTheme="minorEastAsia"/>
        </w:rPr>
        <w:t>应采取防湿、防锈、防潮、防雨、防腐及防碰撞等相应措施对货物进行包装，确保货物在正常作业和装卸条件下安全无损地到达</w:t>
      </w:r>
      <w:r>
        <w:rPr>
          <w:rFonts w:hint="eastAsia" w:asciiTheme="minorEastAsia" w:hAnsiTheme="minorEastAsia" w:eastAsiaTheme="minorEastAsia"/>
          <w:lang w:eastAsia="zh-CN"/>
        </w:rPr>
        <w:t>采购人</w:t>
      </w:r>
      <w:r>
        <w:rPr>
          <w:rFonts w:hint="eastAsia" w:asciiTheme="minorEastAsia" w:hAnsiTheme="minorEastAsia" w:eastAsiaTheme="minorEastAsia"/>
        </w:rPr>
        <w:t>指定地点。</w:t>
      </w:r>
    </w:p>
    <w:p>
      <w:pPr>
        <w:widowControl/>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四、安装、调试</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val="en-US" w:eastAsia="zh-CN"/>
        </w:rPr>
        <w:t>.</w:t>
      </w:r>
      <w:r>
        <w:rPr>
          <w:rFonts w:hint="eastAsia" w:asciiTheme="minorEastAsia" w:hAnsiTheme="minorEastAsia" w:eastAsiaTheme="minorEastAsia"/>
          <w:lang w:eastAsia="zh-CN"/>
        </w:rPr>
        <w:t>供应商</w:t>
      </w:r>
      <w:r>
        <w:rPr>
          <w:rFonts w:hint="eastAsia" w:asciiTheme="minorEastAsia" w:hAnsiTheme="minorEastAsia" w:eastAsiaTheme="minorEastAsia"/>
        </w:rPr>
        <w:t>需委派专门的技术人员将货物安装调试至正常运行的最佳使用状态。</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lang w:val="en-US" w:eastAsia="zh-CN"/>
        </w:rPr>
        <w:t>.</w:t>
      </w:r>
      <w:r>
        <w:rPr>
          <w:rFonts w:hint="eastAsia" w:asciiTheme="minorEastAsia" w:hAnsiTheme="minorEastAsia" w:eastAsiaTheme="minorEastAsia"/>
        </w:rPr>
        <w:t>在家具安装过程中，出现争议的，以采购人意见为准。</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lang w:val="en-US" w:eastAsia="zh-CN"/>
        </w:rPr>
        <w:t>.</w:t>
      </w:r>
      <w:r>
        <w:rPr>
          <w:rFonts w:hint="eastAsia" w:asciiTheme="minorEastAsia" w:hAnsiTheme="minorEastAsia" w:eastAsiaTheme="minorEastAsia"/>
          <w:lang w:eastAsia="zh-CN"/>
        </w:rPr>
        <w:t>供应商</w:t>
      </w:r>
      <w:r>
        <w:rPr>
          <w:rFonts w:hint="eastAsia" w:asciiTheme="minorEastAsia" w:hAnsiTheme="minorEastAsia" w:eastAsiaTheme="minorEastAsia"/>
        </w:rPr>
        <w:t>在安装施工期间做到安全文明施工，不损伤或损坏采购人原有设备设施，否则需按市场重置价赔偿给采购人。</w:t>
      </w:r>
    </w:p>
    <w:p>
      <w:pPr>
        <w:widowControl/>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 五、</w:t>
      </w:r>
      <w:r>
        <w:rPr>
          <w:rFonts w:hint="eastAsia" w:asciiTheme="minorEastAsia" w:hAnsiTheme="minorEastAsia" w:eastAsiaTheme="minorEastAsia" w:cstheme="minorEastAsia"/>
          <w:b/>
          <w:bCs/>
          <w:sz w:val="24"/>
          <w:szCs w:val="24"/>
          <w:lang w:eastAsia="zh-CN"/>
        </w:rPr>
        <w:t>项目要求</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采购</w:t>
      </w:r>
      <w:r>
        <w:rPr>
          <w:rFonts w:hint="eastAsia" w:asciiTheme="minorEastAsia" w:hAnsiTheme="minorEastAsia" w:eastAsiaTheme="minorEastAsia"/>
        </w:rPr>
        <w:t>清单中列明的物品</w:t>
      </w:r>
      <w:r>
        <w:rPr>
          <w:rFonts w:hint="eastAsia" w:asciiTheme="minorEastAsia" w:hAnsiTheme="minorEastAsia" w:eastAsiaTheme="minorEastAsia"/>
          <w:lang w:eastAsia="zh-CN"/>
        </w:rPr>
        <w:t>数量</w:t>
      </w:r>
      <w:r>
        <w:rPr>
          <w:rFonts w:hint="eastAsia" w:asciiTheme="minorEastAsia" w:hAnsiTheme="minorEastAsia" w:eastAsiaTheme="minorEastAsia"/>
        </w:rPr>
        <w:t>为</w:t>
      </w:r>
      <w:r>
        <w:rPr>
          <w:rFonts w:hint="eastAsia" w:asciiTheme="minorEastAsia" w:hAnsiTheme="minorEastAsia" w:eastAsiaTheme="minorEastAsia"/>
          <w:lang w:eastAsia="zh-CN"/>
        </w:rPr>
        <w:t>预</w:t>
      </w:r>
      <w:r>
        <w:rPr>
          <w:rFonts w:hint="eastAsia" w:asciiTheme="minorEastAsia" w:hAnsiTheme="minorEastAsia" w:eastAsiaTheme="minorEastAsia"/>
        </w:rPr>
        <w:t>估</w:t>
      </w:r>
      <w:r>
        <w:rPr>
          <w:rFonts w:hint="eastAsia" w:asciiTheme="minorEastAsia" w:hAnsiTheme="minorEastAsia" w:eastAsiaTheme="minorEastAsia"/>
          <w:lang w:eastAsia="zh-CN"/>
        </w:rPr>
        <w:t>量</w:t>
      </w:r>
      <w:r>
        <w:rPr>
          <w:rFonts w:hint="eastAsia" w:asciiTheme="minorEastAsia" w:hAnsiTheme="minorEastAsia" w:eastAsiaTheme="minorEastAsia"/>
        </w:rPr>
        <w:t>，采购人</w:t>
      </w:r>
      <w:r>
        <w:rPr>
          <w:rFonts w:hint="eastAsia" w:asciiTheme="minorEastAsia" w:hAnsiTheme="minorEastAsia" w:eastAsiaTheme="minorEastAsia"/>
          <w:lang w:eastAsia="zh-CN"/>
        </w:rPr>
        <w:t>将</w:t>
      </w:r>
      <w:r>
        <w:rPr>
          <w:rFonts w:hint="eastAsia" w:asciiTheme="minorEastAsia" w:hAnsiTheme="minorEastAsia" w:eastAsiaTheme="minorEastAsia"/>
        </w:rPr>
        <w:t>根据</w:t>
      </w:r>
      <w:r>
        <w:rPr>
          <w:rFonts w:hint="eastAsia" w:asciiTheme="minorEastAsia" w:hAnsiTheme="minorEastAsia" w:eastAsiaTheme="minorEastAsia"/>
          <w:lang w:eastAsia="zh-CN"/>
        </w:rPr>
        <w:t>综合楼现场</w:t>
      </w:r>
      <w:r>
        <w:rPr>
          <w:rFonts w:hint="eastAsia" w:asciiTheme="minorEastAsia" w:hAnsiTheme="minorEastAsia" w:eastAsiaTheme="minorEastAsia"/>
        </w:rPr>
        <w:t>实际情况</w:t>
      </w:r>
      <w:r>
        <w:rPr>
          <w:rFonts w:hint="eastAsia" w:asciiTheme="minorEastAsia" w:hAnsiTheme="minorEastAsia" w:eastAsiaTheme="minorEastAsia"/>
          <w:lang w:eastAsia="zh-CN"/>
        </w:rPr>
        <w:t>进行</w:t>
      </w:r>
      <w:r>
        <w:rPr>
          <w:rFonts w:hint="eastAsia" w:asciiTheme="minorEastAsia" w:hAnsiTheme="minorEastAsia" w:eastAsiaTheme="minorEastAsia"/>
        </w:rPr>
        <w:t>调整，</w:t>
      </w:r>
      <w:r>
        <w:rPr>
          <w:rFonts w:hint="eastAsia" w:asciiTheme="minorEastAsia" w:hAnsiTheme="minorEastAsia" w:eastAsiaTheme="minorEastAsia"/>
          <w:lang w:eastAsia="zh-CN"/>
        </w:rPr>
        <w:t>并</w:t>
      </w:r>
      <w:r>
        <w:rPr>
          <w:rFonts w:hint="eastAsia" w:asciiTheme="minorEastAsia" w:hAnsiTheme="minorEastAsia" w:eastAsiaTheme="minorEastAsia"/>
        </w:rPr>
        <w:t>按实际</w:t>
      </w:r>
      <w:r>
        <w:rPr>
          <w:rFonts w:hint="eastAsia" w:asciiTheme="minorEastAsia" w:hAnsiTheme="minorEastAsia" w:eastAsiaTheme="minorEastAsia"/>
          <w:lang w:eastAsia="zh-CN"/>
        </w:rPr>
        <w:t>需求量</w:t>
      </w:r>
      <w:r>
        <w:rPr>
          <w:rFonts w:hint="eastAsia" w:asciiTheme="minorEastAsia" w:hAnsiTheme="minorEastAsia" w:eastAsiaTheme="minorEastAsia"/>
        </w:rPr>
        <w:t>结算。</w:t>
      </w:r>
    </w:p>
    <w:p>
      <w:pPr>
        <w:widowControl/>
        <w:tabs>
          <w:tab w:val="center" w:pos="4363"/>
        </w:tabs>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2.合同签订后，供应商须安装专人与采购人各使用科室对接，现场测量核对采购数量，经采购人确认后方能安排生产。</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3.供应商提供的货物颜色</w:t>
      </w:r>
      <w:r>
        <w:rPr>
          <w:rFonts w:hint="eastAsia" w:asciiTheme="minorEastAsia" w:hAnsiTheme="minorEastAsia" w:eastAsiaTheme="minorEastAsia"/>
          <w:lang w:eastAsia="zh-CN"/>
        </w:rPr>
        <w:t>、</w:t>
      </w:r>
      <w:r>
        <w:rPr>
          <w:rFonts w:hint="eastAsia" w:asciiTheme="minorEastAsia" w:hAnsiTheme="minorEastAsia" w:eastAsiaTheme="minorEastAsia"/>
        </w:rPr>
        <w:t>纹理</w:t>
      </w:r>
      <w:r>
        <w:rPr>
          <w:rFonts w:hint="eastAsia" w:asciiTheme="minorEastAsia" w:hAnsiTheme="minorEastAsia" w:eastAsiaTheme="minorEastAsia"/>
          <w:lang w:eastAsia="zh-CN"/>
        </w:rPr>
        <w:t>具有多样性可供选择，具体</w:t>
      </w:r>
      <w:r>
        <w:rPr>
          <w:rFonts w:hint="eastAsia" w:asciiTheme="minorEastAsia" w:hAnsiTheme="minorEastAsia" w:eastAsiaTheme="minorEastAsia"/>
        </w:rPr>
        <w:t>根据现场实际情况搭配</w:t>
      </w:r>
      <w:r>
        <w:rPr>
          <w:rFonts w:hint="eastAsia" w:asciiTheme="minorEastAsia" w:hAnsiTheme="minorEastAsia" w:eastAsiaTheme="minorEastAsia"/>
          <w:lang w:eastAsia="zh-CN"/>
        </w:rPr>
        <w:t>。</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供应商</w:t>
      </w:r>
      <w:r>
        <w:rPr>
          <w:rFonts w:hint="eastAsia" w:asciiTheme="minorEastAsia" w:hAnsiTheme="minorEastAsia" w:eastAsiaTheme="minorEastAsia"/>
        </w:rPr>
        <w:t>必须充分考虑现场安装难度及安全性，安装过程中如果对现场物品或结构造成损坏的，必须恢复原样，如不能修复的需照价赔偿。</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5.供应商须提供</w:t>
      </w:r>
      <w:r>
        <w:rPr>
          <w:rFonts w:hint="eastAsia" w:asciiTheme="minorEastAsia" w:hAnsiTheme="minorEastAsia" w:eastAsiaTheme="minorEastAsia"/>
        </w:rPr>
        <w:t>符合国家标准或行业标准要求的主要原材料 (</w:t>
      </w:r>
      <w:r>
        <w:rPr>
          <w:rFonts w:hint="eastAsia" w:asciiTheme="minorEastAsia" w:hAnsiTheme="minorEastAsia" w:eastAsiaTheme="minorEastAsia"/>
          <w:color w:val="auto"/>
          <w:highlight w:val="green"/>
        </w:rPr>
        <w:t xml:space="preserve"> 如人造板、木皮、人造板饰面纸、皮革、海绵、铰链、导轨、三合一件、封边条、胶水</w:t>
      </w:r>
      <w:r>
        <w:rPr>
          <w:rFonts w:hint="eastAsia" w:asciiTheme="minorEastAsia" w:hAnsiTheme="minorEastAsia" w:eastAsiaTheme="minorEastAsia"/>
        </w:rPr>
        <w:t>等)的检测报告。</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供应商</w:t>
      </w:r>
      <w:r>
        <w:rPr>
          <w:rFonts w:hint="eastAsia" w:asciiTheme="minorEastAsia" w:hAnsiTheme="minorEastAsia" w:eastAsiaTheme="minorEastAsia"/>
        </w:rPr>
        <w:t>需根据项目的人员安排、进度计划、总体规划等角度提供完整合理的项目整体实施方案，能按照项目分解节点并可跟踪实施。</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7.</w:t>
      </w:r>
      <w:r>
        <w:rPr>
          <w:rFonts w:hint="eastAsia" w:asciiTheme="minorEastAsia" w:hAnsiTheme="minorEastAsia" w:eastAsiaTheme="minorEastAsia"/>
          <w:lang w:eastAsia="zh-CN"/>
        </w:rPr>
        <w:t>供应商</w:t>
      </w:r>
      <w:r>
        <w:rPr>
          <w:rFonts w:hint="eastAsia" w:asciiTheme="minorEastAsia" w:hAnsiTheme="minorEastAsia" w:eastAsiaTheme="minorEastAsia"/>
        </w:rPr>
        <w:t>需提供包括原材料采购、加工制作等各个环节的实施方案在内的生产实施方案，在规定的时间内有计划的完成项目需求产品的生产和装配。</w:t>
      </w:r>
    </w:p>
    <w:p>
      <w:pPr>
        <w:widowControl/>
        <w:spacing w:line="360" w:lineRule="auto"/>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六、主要原材料技术要求</w:t>
      </w:r>
    </w:p>
    <w:tbl>
      <w:tblPr>
        <w:tblStyle w:val="12"/>
        <w:tblW w:w="10486"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18"/>
        <w:gridCol w:w="8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spacing w:line="240" w:lineRule="auto"/>
              <w:jc w:val="center"/>
              <w:rPr>
                <w:rFonts w:hint="default"/>
                <w:b/>
                <w:bCs/>
                <w:vertAlign w:val="baseline"/>
                <w:lang w:val="en-US" w:eastAsia="zh-CN"/>
              </w:rPr>
            </w:pPr>
            <w:r>
              <w:rPr>
                <w:rFonts w:hint="eastAsia"/>
                <w:b/>
                <w:bCs/>
                <w:vertAlign w:val="baseline"/>
                <w:lang w:val="en-US" w:eastAsia="zh-CN"/>
              </w:rPr>
              <w:t>序号</w:t>
            </w:r>
          </w:p>
        </w:tc>
        <w:tc>
          <w:tcPr>
            <w:tcW w:w="1118" w:type="dxa"/>
            <w:vAlign w:val="center"/>
          </w:tcPr>
          <w:p>
            <w:pPr>
              <w:spacing w:line="240" w:lineRule="auto"/>
              <w:jc w:val="center"/>
              <w:rPr>
                <w:rFonts w:hint="default"/>
                <w:b/>
                <w:bCs/>
                <w:vertAlign w:val="baseline"/>
                <w:lang w:val="en-US" w:eastAsia="zh-CN"/>
              </w:rPr>
            </w:pPr>
            <w:r>
              <w:rPr>
                <w:rFonts w:hint="eastAsia"/>
                <w:b/>
                <w:bCs/>
                <w:vertAlign w:val="baseline"/>
                <w:lang w:val="en-US" w:eastAsia="zh-CN"/>
              </w:rPr>
              <w:t>原材料名称</w:t>
            </w:r>
          </w:p>
        </w:tc>
        <w:tc>
          <w:tcPr>
            <w:tcW w:w="8631" w:type="dxa"/>
            <w:vAlign w:val="center"/>
          </w:tcPr>
          <w:p>
            <w:pPr>
              <w:spacing w:line="240" w:lineRule="auto"/>
              <w:jc w:val="center"/>
              <w:rPr>
                <w:rFonts w:hint="default"/>
                <w:b/>
                <w:bCs/>
                <w:vertAlign w:val="baseline"/>
                <w:lang w:val="en-US" w:eastAsia="zh-CN"/>
              </w:rPr>
            </w:pPr>
            <w:r>
              <w:rPr>
                <w:rFonts w:hint="eastAsia"/>
                <w:b/>
                <w:bCs/>
                <w:vertAlign w:val="baseline"/>
                <w:lang w:val="en-US" w:eastAsia="zh-CN"/>
              </w:rPr>
              <w:t>具体参数（如下列标准有变化，可按国家发布的最新标准执行）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实木多层板</w:t>
            </w:r>
            <w:r>
              <w:rPr>
                <w:rFonts w:hint="eastAsia"/>
                <w:sz w:val="21"/>
                <w:szCs w:val="21"/>
                <w:vertAlign w:val="baseline"/>
                <w:lang w:val="en-US" w:eastAsia="zh-CN"/>
              </w:rPr>
              <w:t>（</w:t>
            </w:r>
            <w:r>
              <w:rPr>
                <w:rFonts w:hint="default"/>
                <w:sz w:val="21"/>
                <w:szCs w:val="21"/>
                <w:vertAlign w:val="baseline"/>
                <w:lang w:val="en-US" w:eastAsia="zh-CN"/>
              </w:rPr>
              <w:t>E0级</w:t>
            </w:r>
            <w:r>
              <w:rPr>
                <w:rFonts w:hint="eastAsia"/>
                <w:sz w:val="21"/>
                <w:szCs w:val="21"/>
                <w:vertAlign w:val="baseline"/>
                <w:lang w:val="en-US" w:eastAsia="zh-CN"/>
              </w:rPr>
              <w:t>)</w:t>
            </w:r>
          </w:p>
        </w:tc>
        <w:tc>
          <w:tcPr>
            <w:tcW w:w="8631" w:type="dxa"/>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检测依据：GB/T9846-2015《普通胶合板》，GB18580-2017《室内装饰装修材料 人造板及其制品中甲醛释放限量》，GB/T35601-2017《绿色产品评价 人造板和木质地板》；</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w:t>
            </w:r>
            <w:r>
              <w:rPr>
                <w:rFonts w:hint="default"/>
                <w:sz w:val="21"/>
                <w:szCs w:val="21"/>
                <w:vertAlign w:val="baseline"/>
                <w:lang w:val="en-US" w:eastAsia="zh-CN"/>
              </w:rPr>
              <w:t>含水率5%-14%</w:t>
            </w:r>
            <w:r>
              <w:rPr>
                <w:rFonts w:hint="eastAsia"/>
                <w:sz w:val="21"/>
                <w:szCs w:val="21"/>
                <w:vertAlign w:val="baseline"/>
                <w:lang w:val="en-US" w:eastAsia="zh-CN"/>
              </w:rPr>
              <w:t>，</w:t>
            </w:r>
            <w:r>
              <w:rPr>
                <w:rFonts w:hint="default"/>
                <w:sz w:val="21"/>
                <w:szCs w:val="21"/>
                <w:vertAlign w:val="baseline"/>
                <w:lang w:val="en-US" w:eastAsia="zh-CN"/>
              </w:rPr>
              <w:t>甲醛释放量≤0.0</w:t>
            </w:r>
            <w:r>
              <w:rPr>
                <w:rFonts w:hint="eastAsia"/>
                <w:sz w:val="21"/>
                <w:szCs w:val="21"/>
                <w:vertAlign w:val="baseline"/>
                <w:lang w:val="en-US" w:eastAsia="zh-CN"/>
              </w:rPr>
              <w:t>5</w:t>
            </w:r>
            <w:r>
              <w:rPr>
                <w:rFonts w:hint="default"/>
                <w:sz w:val="21"/>
                <w:szCs w:val="21"/>
                <w:vertAlign w:val="baseline"/>
                <w:lang w:val="en-US" w:eastAsia="zh-CN"/>
              </w:rPr>
              <w:t>mg/m³</w:t>
            </w:r>
            <w:r>
              <w:rPr>
                <w:rFonts w:hint="eastAsia"/>
                <w:sz w:val="21"/>
                <w:szCs w:val="21"/>
                <w:vertAlign w:val="baseline"/>
                <w:lang w:val="en-US" w:eastAsia="zh-CN"/>
              </w:rPr>
              <w:t>，</w:t>
            </w:r>
            <w:r>
              <w:rPr>
                <w:rFonts w:hint="default"/>
                <w:sz w:val="21"/>
                <w:szCs w:val="21"/>
                <w:vertAlign w:val="baseline"/>
                <w:lang w:val="en-US" w:eastAsia="zh-CN"/>
              </w:rPr>
              <w:t>苯≤</w:t>
            </w:r>
            <w:r>
              <w:rPr>
                <w:rFonts w:hint="eastAsia"/>
                <w:sz w:val="21"/>
                <w:szCs w:val="21"/>
                <w:vertAlign w:val="baseline"/>
                <w:lang w:val="en-US" w:eastAsia="zh-CN"/>
              </w:rPr>
              <w:t>10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甲苯≤</w:t>
            </w:r>
            <w:r>
              <w:rPr>
                <w:rFonts w:hint="eastAsia"/>
                <w:sz w:val="21"/>
                <w:szCs w:val="21"/>
                <w:vertAlign w:val="baseline"/>
                <w:lang w:val="en-US" w:eastAsia="zh-CN"/>
              </w:rPr>
              <w:t>20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二甲苯≤2</w:t>
            </w:r>
            <w:r>
              <w:rPr>
                <w:rFonts w:hint="eastAsia"/>
                <w:sz w:val="21"/>
                <w:szCs w:val="21"/>
                <w:vertAlign w:val="baseline"/>
                <w:lang w:val="en-US" w:eastAsia="zh-CN"/>
              </w:rPr>
              <w:t>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总挥发性有机化合物（TVOC）≤</w:t>
            </w:r>
            <w:r>
              <w:rPr>
                <w:rFonts w:hint="eastAsia"/>
                <w:sz w:val="21"/>
                <w:szCs w:val="21"/>
                <w:vertAlign w:val="baseline"/>
                <w:lang w:val="en-US" w:eastAsia="zh-CN"/>
              </w:rPr>
              <w:t>10</w:t>
            </w:r>
            <w:r>
              <w:rPr>
                <w:rFonts w:hint="default"/>
                <w:sz w:val="21"/>
                <w:szCs w:val="21"/>
                <w:vertAlign w:val="baseline"/>
                <w:lang w:val="en-US" w:eastAsia="zh-CN"/>
              </w:rPr>
              <w:t>0μg/m³</w:t>
            </w: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2</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浸渍胶膜纸饰面刨</w:t>
            </w:r>
            <w:r>
              <w:rPr>
                <w:rFonts w:hint="eastAsia"/>
                <w:sz w:val="21"/>
                <w:szCs w:val="21"/>
                <w:vertAlign w:val="baseline"/>
                <w:lang w:val="en-US" w:eastAsia="zh-CN"/>
              </w:rPr>
              <w:t>3</w:t>
            </w:r>
            <w:r>
              <w:rPr>
                <w:rFonts w:hint="default"/>
                <w:sz w:val="21"/>
                <w:szCs w:val="21"/>
                <w:vertAlign w:val="baseline"/>
                <w:lang w:val="en-US" w:eastAsia="zh-CN"/>
              </w:rPr>
              <w:t>花板</w:t>
            </w:r>
            <w:r>
              <w:rPr>
                <w:rFonts w:hint="eastAsia"/>
                <w:sz w:val="21"/>
                <w:szCs w:val="21"/>
                <w:vertAlign w:val="baseline"/>
                <w:lang w:val="en-US" w:eastAsia="zh-CN"/>
              </w:rPr>
              <w:t>(</w:t>
            </w:r>
            <w:r>
              <w:rPr>
                <w:rFonts w:hint="default"/>
                <w:sz w:val="21"/>
                <w:szCs w:val="21"/>
                <w:vertAlign w:val="baseline"/>
                <w:lang w:val="en-US" w:eastAsia="zh-CN"/>
              </w:rPr>
              <w:t>E0级</w:t>
            </w:r>
            <w:r>
              <w:rPr>
                <w:rFonts w:hint="eastAsia"/>
                <w:sz w:val="21"/>
                <w:szCs w:val="21"/>
                <w:vertAlign w:val="baseline"/>
                <w:lang w:val="en-US" w:eastAsia="zh-CN"/>
              </w:rPr>
              <w:t>)</w:t>
            </w:r>
          </w:p>
        </w:tc>
        <w:tc>
          <w:tcPr>
            <w:tcW w:w="8631" w:type="dxa"/>
            <w:shd w:val="clear" w:color="auto" w:fill="auto"/>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检测依据：GB/T4897-2015《刨花板》，GB18580-2017《室内装饰装修材料 人造板及其制品中甲醛释放限量》，GB/T35601-2017《绿色产品评价 人造板和木质地板》；</w:t>
            </w:r>
          </w:p>
          <w:p>
            <w:pPr>
              <w:spacing w:line="360" w:lineRule="auto"/>
              <w:rPr>
                <w:rFonts w:hint="default" w:ascii="宋体" w:hAnsi="宋体" w:eastAsia="宋体" w:cs="宋体"/>
                <w:kern w:val="2"/>
                <w:sz w:val="21"/>
                <w:szCs w:val="21"/>
                <w:vertAlign w:val="baseline"/>
                <w:lang w:val="en-US" w:eastAsia="zh-CN" w:bidi="ar-SA"/>
              </w:rPr>
            </w:pPr>
            <w:r>
              <w:rPr>
                <w:rFonts w:hint="eastAsia"/>
                <w:sz w:val="21"/>
                <w:szCs w:val="21"/>
                <w:vertAlign w:val="baseline"/>
                <w:lang w:val="en-US" w:eastAsia="zh-CN"/>
              </w:rPr>
              <w:t>检测内容：</w:t>
            </w:r>
            <w:r>
              <w:rPr>
                <w:rFonts w:hint="default"/>
                <w:sz w:val="21"/>
                <w:szCs w:val="21"/>
                <w:vertAlign w:val="baseline"/>
                <w:lang w:val="en-US" w:eastAsia="zh-CN"/>
              </w:rPr>
              <w:t>含水率</w:t>
            </w:r>
            <w:r>
              <w:rPr>
                <w:rFonts w:hint="eastAsia"/>
                <w:sz w:val="21"/>
                <w:szCs w:val="21"/>
                <w:vertAlign w:val="baseline"/>
                <w:lang w:val="en-US" w:eastAsia="zh-CN"/>
              </w:rPr>
              <w:t>3</w:t>
            </w:r>
            <w:r>
              <w:rPr>
                <w:rFonts w:hint="default"/>
                <w:sz w:val="21"/>
                <w:szCs w:val="21"/>
                <w:vertAlign w:val="baseline"/>
                <w:lang w:val="en-US" w:eastAsia="zh-CN"/>
              </w:rPr>
              <w:t>%-1</w:t>
            </w:r>
            <w:r>
              <w:rPr>
                <w:rFonts w:hint="eastAsia"/>
                <w:sz w:val="21"/>
                <w:szCs w:val="21"/>
                <w:vertAlign w:val="baseline"/>
                <w:lang w:val="en-US" w:eastAsia="zh-CN"/>
              </w:rPr>
              <w:t>3</w:t>
            </w:r>
            <w:r>
              <w:rPr>
                <w:rFonts w:hint="default"/>
                <w:sz w:val="21"/>
                <w:szCs w:val="21"/>
                <w:vertAlign w:val="baseline"/>
                <w:lang w:val="en-US" w:eastAsia="zh-CN"/>
              </w:rPr>
              <w:t>%</w:t>
            </w:r>
            <w:r>
              <w:rPr>
                <w:rFonts w:hint="eastAsia"/>
                <w:sz w:val="21"/>
                <w:szCs w:val="21"/>
                <w:vertAlign w:val="baseline"/>
                <w:lang w:val="en-US" w:eastAsia="zh-CN"/>
              </w:rPr>
              <w:t>，</w:t>
            </w:r>
            <w:r>
              <w:rPr>
                <w:rFonts w:hint="default"/>
                <w:sz w:val="21"/>
                <w:szCs w:val="21"/>
                <w:vertAlign w:val="baseline"/>
                <w:lang w:val="en-US" w:eastAsia="zh-CN"/>
              </w:rPr>
              <w:t>甲醛释放量≤0.0</w:t>
            </w:r>
            <w:r>
              <w:rPr>
                <w:rFonts w:hint="eastAsia"/>
                <w:sz w:val="21"/>
                <w:szCs w:val="21"/>
                <w:vertAlign w:val="baseline"/>
                <w:lang w:val="en-US" w:eastAsia="zh-CN"/>
              </w:rPr>
              <w:t>5</w:t>
            </w:r>
            <w:r>
              <w:rPr>
                <w:rFonts w:hint="default"/>
                <w:sz w:val="21"/>
                <w:szCs w:val="21"/>
                <w:vertAlign w:val="baseline"/>
                <w:lang w:val="en-US" w:eastAsia="zh-CN"/>
              </w:rPr>
              <w:t>mg/m³</w:t>
            </w:r>
            <w:r>
              <w:rPr>
                <w:rFonts w:hint="eastAsia"/>
                <w:sz w:val="21"/>
                <w:szCs w:val="21"/>
                <w:vertAlign w:val="baseline"/>
                <w:lang w:val="en-US" w:eastAsia="zh-CN"/>
              </w:rPr>
              <w:t>，</w:t>
            </w:r>
            <w:r>
              <w:rPr>
                <w:rFonts w:hint="default"/>
                <w:sz w:val="21"/>
                <w:szCs w:val="21"/>
                <w:vertAlign w:val="baseline"/>
                <w:lang w:val="en-US" w:eastAsia="zh-CN"/>
              </w:rPr>
              <w:t>苯≤</w:t>
            </w:r>
            <w:r>
              <w:rPr>
                <w:rFonts w:hint="eastAsia"/>
                <w:sz w:val="21"/>
                <w:szCs w:val="21"/>
                <w:vertAlign w:val="baseline"/>
                <w:lang w:val="en-US" w:eastAsia="zh-CN"/>
              </w:rPr>
              <w:t>10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甲苯≤</w:t>
            </w:r>
            <w:r>
              <w:rPr>
                <w:rFonts w:hint="eastAsia"/>
                <w:sz w:val="21"/>
                <w:szCs w:val="21"/>
                <w:vertAlign w:val="baseline"/>
                <w:lang w:val="en-US" w:eastAsia="zh-CN"/>
              </w:rPr>
              <w:t>20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二甲苯≤2</w:t>
            </w:r>
            <w:r>
              <w:rPr>
                <w:rFonts w:hint="eastAsia"/>
                <w:sz w:val="21"/>
                <w:szCs w:val="21"/>
                <w:vertAlign w:val="baseline"/>
                <w:lang w:val="en-US" w:eastAsia="zh-CN"/>
              </w:rPr>
              <w:t>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总挥发性有机化合物（TVOC）≤</w:t>
            </w:r>
            <w:r>
              <w:rPr>
                <w:rFonts w:hint="eastAsia"/>
                <w:sz w:val="21"/>
                <w:szCs w:val="21"/>
                <w:vertAlign w:val="baseline"/>
                <w:lang w:val="en-US" w:eastAsia="zh-CN"/>
              </w:rPr>
              <w:t>10</w:t>
            </w:r>
            <w:r>
              <w:rPr>
                <w:rFonts w:hint="default"/>
                <w:sz w:val="21"/>
                <w:szCs w:val="21"/>
                <w:vertAlign w:val="baseline"/>
                <w:lang w:val="en-US" w:eastAsia="zh-CN"/>
              </w:rPr>
              <w:t>0μg/m³</w:t>
            </w: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3</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中密度纤维板</w:t>
            </w:r>
            <w:r>
              <w:rPr>
                <w:rFonts w:hint="eastAsia"/>
                <w:sz w:val="21"/>
                <w:szCs w:val="21"/>
                <w:vertAlign w:val="baseline"/>
                <w:lang w:val="en-US" w:eastAsia="zh-CN"/>
              </w:rPr>
              <w:t>(</w:t>
            </w:r>
            <w:r>
              <w:rPr>
                <w:rFonts w:hint="default"/>
                <w:sz w:val="21"/>
                <w:szCs w:val="21"/>
                <w:vertAlign w:val="baseline"/>
                <w:lang w:val="en-US" w:eastAsia="zh-CN"/>
              </w:rPr>
              <w:t>E0级</w:t>
            </w:r>
            <w:r>
              <w:rPr>
                <w:rFonts w:hint="eastAsia"/>
                <w:sz w:val="21"/>
                <w:szCs w:val="21"/>
                <w:vertAlign w:val="baseline"/>
                <w:lang w:val="en-US" w:eastAsia="zh-CN"/>
              </w:rPr>
              <w:t>)</w:t>
            </w:r>
          </w:p>
        </w:tc>
        <w:tc>
          <w:tcPr>
            <w:tcW w:w="8631" w:type="dxa"/>
            <w:shd w:val="clear" w:color="auto" w:fill="auto"/>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检测依据：GB/T11718-2021《中密度纤维板》，GB18580-2017《室内装饰装修材料人造板及其制品中甲醛释放限量》，GB/T35601-2017《绿色产品评价 人造板和木质地板》；</w:t>
            </w:r>
          </w:p>
          <w:p>
            <w:pPr>
              <w:spacing w:line="360" w:lineRule="auto"/>
              <w:rPr>
                <w:rFonts w:hint="default" w:ascii="宋体" w:hAnsi="宋体" w:eastAsia="宋体" w:cs="宋体"/>
                <w:kern w:val="2"/>
                <w:sz w:val="21"/>
                <w:szCs w:val="21"/>
                <w:vertAlign w:val="baseline"/>
                <w:lang w:val="en-US" w:eastAsia="zh-CN" w:bidi="ar-SA"/>
              </w:rPr>
            </w:pPr>
            <w:r>
              <w:rPr>
                <w:rFonts w:hint="eastAsia"/>
                <w:sz w:val="21"/>
                <w:szCs w:val="21"/>
                <w:vertAlign w:val="baseline"/>
                <w:lang w:val="en-US" w:eastAsia="zh-CN"/>
              </w:rPr>
              <w:t>检测内容：</w:t>
            </w:r>
            <w:r>
              <w:rPr>
                <w:rFonts w:hint="default"/>
                <w:sz w:val="21"/>
                <w:szCs w:val="21"/>
                <w:vertAlign w:val="baseline"/>
                <w:lang w:val="en-US" w:eastAsia="zh-CN"/>
              </w:rPr>
              <w:t>含水率</w:t>
            </w:r>
            <w:r>
              <w:rPr>
                <w:rFonts w:hint="eastAsia"/>
                <w:sz w:val="21"/>
                <w:szCs w:val="21"/>
                <w:vertAlign w:val="baseline"/>
                <w:lang w:val="en-US" w:eastAsia="zh-CN"/>
              </w:rPr>
              <w:t>3</w:t>
            </w:r>
            <w:r>
              <w:rPr>
                <w:rFonts w:hint="default"/>
                <w:sz w:val="21"/>
                <w:szCs w:val="21"/>
                <w:vertAlign w:val="baseline"/>
                <w:lang w:val="en-US" w:eastAsia="zh-CN"/>
              </w:rPr>
              <w:t>%-1</w:t>
            </w:r>
            <w:r>
              <w:rPr>
                <w:rFonts w:hint="eastAsia"/>
                <w:sz w:val="21"/>
                <w:szCs w:val="21"/>
                <w:vertAlign w:val="baseline"/>
                <w:lang w:val="en-US" w:eastAsia="zh-CN"/>
              </w:rPr>
              <w:t>3</w:t>
            </w:r>
            <w:r>
              <w:rPr>
                <w:rFonts w:hint="default"/>
                <w:sz w:val="21"/>
                <w:szCs w:val="21"/>
                <w:vertAlign w:val="baseline"/>
                <w:lang w:val="en-US" w:eastAsia="zh-CN"/>
              </w:rPr>
              <w:t>%</w:t>
            </w:r>
            <w:r>
              <w:rPr>
                <w:rFonts w:hint="eastAsia"/>
                <w:sz w:val="21"/>
                <w:szCs w:val="21"/>
                <w:vertAlign w:val="baseline"/>
                <w:lang w:val="en-US" w:eastAsia="zh-CN"/>
              </w:rPr>
              <w:t>，</w:t>
            </w:r>
            <w:r>
              <w:rPr>
                <w:rFonts w:hint="default"/>
                <w:sz w:val="21"/>
                <w:szCs w:val="21"/>
                <w:vertAlign w:val="baseline"/>
                <w:lang w:val="en-US" w:eastAsia="zh-CN"/>
              </w:rPr>
              <w:t>甲醛释放量≤0.0</w:t>
            </w:r>
            <w:r>
              <w:rPr>
                <w:rFonts w:hint="eastAsia"/>
                <w:sz w:val="21"/>
                <w:szCs w:val="21"/>
                <w:vertAlign w:val="baseline"/>
                <w:lang w:val="en-US" w:eastAsia="zh-CN"/>
              </w:rPr>
              <w:t>5</w:t>
            </w:r>
            <w:r>
              <w:rPr>
                <w:rFonts w:hint="default"/>
                <w:sz w:val="21"/>
                <w:szCs w:val="21"/>
                <w:vertAlign w:val="baseline"/>
                <w:lang w:val="en-US" w:eastAsia="zh-CN"/>
              </w:rPr>
              <w:t>mg/m³</w:t>
            </w:r>
            <w:r>
              <w:rPr>
                <w:rFonts w:hint="eastAsia"/>
                <w:sz w:val="21"/>
                <w:szCs w:val="21"/>
                <w:vertAlign w:val="baseline"/>
                <w:lang w:val="en-US" w:eastAsia="zh-CN"/>
              </w:rPr>
              <w:t>，</w:t>
            </w:r>
            <w:r>
              <w:rPr>
                <w:rFonts w:hint="default"/>
                <w:sz w:val="21"/>
                <w:szCs w:val="21"/>
                <w:vertAlign w:val="baseline"/>
                <w:lang w:val="en-US" w:eastAsia="zh-CN"/>
              </w:rPr>
              <w:t>苯≤</w:t>
            </w:r>
            <w:r>
              <w:rPr>
                <w:rFonts w:hint="eastAsia"/>
                <w:sz w:val="21"/>
                <w:szCs w:val="21"/>
                <w:vertAlign w:val="baseline"/>
                <w:lang w:val="en-US" w:eastAsia="zh-CN"/>
              </w:rPr>
              <w:t>10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甲苯≤</w:t>
            </w:r>
            <w:r>
              <w:rPr>
                <w:rFonts w:hint="eastAsia"/>
                <w:sz w:val="21"/>
                <w:szCs w:val="21"/>
                <w:vertAlign w:val="baseline"/>
                <w:lang w:val="en-US" w:eastAsia="zh-CN"/>
              </w:rPr>
              <w:t>20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二甲苯≤2</w:t>
            </w:r>
            <w:r>
              <w:rPr>
                <w:rFonts w:hint="eastAsia"/>
                <w:sz w:val="21"/>
                <w:szCs w:val="21"/>
                <w:vertAlign w:val="baseline"/>
                <w:lang w:val="en-US" w:eastAsia="zh-CN"/>
              </w:rPr>
              <w:t>0</w:t>
            </w:r>
            <w:r>
              <w:rPr>
                <w:rFonts w:hint="default"/>
                <w:sz w:val="21"/>
                <w:szCs w:val="21"/>
                <w:vertAlign w:val="baseline"/>
                <w:lang w:val="en-US" w:eastAsia="zh-CN"/>
              </w:rPr>
              <w:t>μg/m³</w:t>
            </w:r>
            <w:r>
              <w:rPr>
                <w:rFonts w:hint="eastAsia"/>
                <w:sz w:val="21"/>
                <w:szCs w:val="21"/>
                <w:vertAlign w:val="baseline"/>
                <w:lang w:val="en-US" w:eastAsia="zh-CN"/>
              </w:rPr>
              <w:t>，</w:t>
            </w:r>
            <w:r>
              <w:rPr>
                <w:rFonts w:hint="default"/>
                <w:sz w:val="21"/>
                <w:szCs w:val="21"/>
                <w:vertAlign w:val="baseline"/>
                <w:lang w:val="en-US" w:eastAsia="zh-CN"/>
              </w:rPr>
              <w:t>总挥发性有机化合物（TVOC）≤</w:t>
            </w:r>
            <w:r>
              <w:rPr>
                <w:rFonts w:hint="eastAsia"/>
                <w:sz w:val="21"/>
                <w:szCs w:val="21"/>
                <w:vertAlign w:val="baseline"/>
                <w:lang w:val="en-US" w:eastAsia="zh-CN"/>
              </w:rPr>
              <w:t>10</w:t>
            </w:r>
            <w:r>
              <w:rPr>
                <w:rFonts w:hint="default"/>
                <w:sz w:val="21"/>
                <w:szCs w:val="21"/>
                <w:vertAlign w:val="baseline"/>
                <w:lang w:val="en-US" w:eastAsia="zh-CN"/>
              </w:rPr>
              <w:t>0μg/m³</w:t>
            </w: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4</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电解钢板</w:t>
            </w:r>
          </w:p>
        </w:tc>
        <w:tc>
          <w:tcPr>
            <w:tcW w:w="8631" w:type="dxa"/>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检测依据：GB/T3325-2017《金属家具通用技术条件》，QB/T3827-1999《轻工产品金属镀层和化学处理层的耐腐蚀试验方法 乙酸盐雾试验(ASS)法》，GB/T10125-2021《人造气氛腐蚀试验 盐雾试验》，QB/T3832-1999《轻工产品金属镀层腐蚀试验结果的评价》，HG/T2006-2022《热固性和热塑性粉末塑料》，QB/T4371-2012《家具抗菌性能的评价》；</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检测内容：铅笔硬度（内聚破坏擦伤）≥H，干附着力≤1级，耐酸性、耐碱性、耐湿性均无异常，通过中性盐雾试验和抗菌性能试验。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5</w:t>
            </w:r>
          </w:p>
        </w:tc>
        <w:tc>
          <w:tcPr>
            <w:tcW w:w="1118" w:type="dxa"/>
            <w:vAlign w:val="center"/>
          </w:tcPr>
          <w:p>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医用</w:t>
            </w:r>
            <w:r>
              <w:rPr>
                <w:rFonts w:hint="default"/>
                <w:sz w:val="21"/>
                <w:szCs w:val="21"/>
                <w:vertAlign w:val="baseline"/>
                <w:lang w:val="en-US" w:eastAsia="zh-CN"/>
              </w:rPr>
              <w:t>人造石</w:t>
            </w:r>
          </w:p>
        </w:tc>
        <w:tc>
          <w:tcPr>
            <w:tcW w:w="8631" w:type="dxa"/>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检测依据：JC/T908-2013《人造石》，QB/T4371-2012《家具抗菌性能的评价》；</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弯曲强度不小于40MPa，弯曲弹性模量不小于6.5GPa，耐磨性不大于0.6g，耐污染性：实体面材试验耐污值总和不大于64,、最大污迹深度不大于0.12mm，耐化学药品性、耐高温性能、耐燃烧性能（香烟燃烧）、抗菌性能均符合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6</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PVC封边条</w:t>
            </w:r>
          </w:p>
        </w:tc>
        <w:tc>
          <w:tcPr>
            <w:tcW w:w="8631" w:type="dxa"/>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检测依据：GB/T4463-2013《家具用封边条技术要求》，GB28481-2012《塑料家具中有害物质限量》；</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检测内容：厚度≥2.0mm，</w:t>
            </w:r>
            <w:r>
              <w:rPr>
                <w:rFonts w:hint="default"/>
                <w:sz w:val="21"/>
                <w:szCs w:val="21"/>
                <w:vertAlign w:val="baseline"/>
                <w:lang w:val="en-US" w:eastAsia="zh-CN"/>
              </w:rPr>
              <w:t>耐开裂性≥2级</w:t>
            </w:r>
            <w:r>
              <w:rPr>
                <w:rFonts w:hint="eastAsia"/>
                <w:sz w:val="21"/>
                <w:szCs w:val="21"/>
                <w:vertAlign w:val="baseline"/>
                <w:lang w:val="en-US" w:eastAsia="zh-CN"/>
              </w:rPr>
              <w:t>，耐老化性应无开裂，</w:t>
            </w:r>
            <w:r>
              <w:rPr>
                <w:rFonts w:hint="default"/>
                <w:sz w:val="21"/>
                <w:szCs w:val="21"/>
                <w:vertAlign w:val="baseline"/>
                <w:lang w:val="en-US" w:eastAsia="zh-CN"/>
              </w:rPr>
              <w:t>甲醛释放量≤</w:t>
            </w:r>
            <w:r>
              <w:rPr>
                <w:rFonts w:hint="eastAsia"/>
                <w:sz w:val="21"/>
                <w:szCs w:val="21"/>
                <w:vertAlign w:val="baseline"/>
                <w:lang w:val="en-US" w:eastAsia="zh-CN"/>
              </w:rPr>
              <w:t>1.</w:t>
            </w:r>
            <w:r>
              <w:rPr>
                <w:rFonts w:hint="default"/>
                <w:sz w:val="21"/>
                <w:szCs w:val="21"/>
                <w:vertAlign w:val="baseline"/>
                <w:lang w:val="en-US" w:eastAsia="zh-CN"/>
              </w:rPr>
              <w:t>5mg/L</w:t>
            </w:r>
            <w:r>
              <w:rPr>
                <w:rFonts w:hint="eastAsia"/>
                <w:sz w:val="21"/>
                <w:szCs w:val="21"/>
                <w:vertAlign w:val="baseline"/>
                <w:lang w:val="en-US" w:eastAsia="zh-CN"/>
              </w:rPr>
              <w:t>，</w:t>
            </w:r>
            <w:r>
              <w:rPr>
                <w:rFonts w:hint="default"/>
                <w:sz w:val="21"/>
                <w:szCs w:val="21"/>
                <w:vertAlign w:val="baseline"/>
                <w:lang w:val="en-US" w:eastAsia="zh-CN"/>
              </w:rPr>
              <w:t>氯乙烯单体≤</w:t>
            </w:r>
            <w:r>
              <w:rPr>
                <w:rFonts w:hint="eastAsia"/>
                <w:sz w:val="21"/>
                <w:szCs w:val="21"/>
                <w:vertAlign w:val="baseline"/>
                <w:lang w:val="en-US" w:eastAsia="zh-CN"/>
              </w:rPr>
              <w:t>5.0</w:t>
            </w:r>
            <w:r>
              <w:rPr>
                <w:rFonts w:hint="default"/>
                <w:sz w:val="21"/>
                <w:szCs w:val="21"/>
                <w:vertAlign w:val="baseline"/>
                <w:lang w:val="en-US" w:eastAsia="zh-CN"/>
              </w:rPr>
              <w:t>mg/kg</w:t>
            </w:r>
            <w:r>
              <w:rPr>
                <w:rFonts w:hint="eastAsia"/>
                <w:sz w:val="21"/>
                <w:szCs w:val="21"/>
                <w:vertAlign w:val="baseline"/>
                <w:lang w:val="en-US" w:eastAsia="zh-CN"/>
              </w:rPr>
              <w:t>，</w:t>
            </w:r>
            <w:r>
              <w:rPr>
                <w:rFonts w:hint="default"/>
                <w:sz w:val="21"/>
                <w:szCs w:val="21"/>
                <w:vertAlign w:val="baseline"/>
                <w:lang w:val="en-US" w:eastAsia="zh-CN"/>
              </w:rPr>
              <w:t>邻苯二甲酸酯≤0.</w:t>
            </w:r>
            <w:r>
              <w:rPr>
                <w:rFonts w:hint="eastAsia"/>
                <w:sz w:val="21"/>
                <w:szCs w:val="21"/>
                <w:vertAlign w:val="baseline"/>
                <w:lang w:val="en-US" w:eastAsia="zh-CN"/>
              </w:rPr>
              <w:t>1</w:t>
            </w:r>
            <w:r>
              <w:rPr>
                <w:rFonts w:hint="default"/>
                <w:sz w:val="21"/>
                <w:szCs w:val="21"/>
                <w:vertAlign w:val="baseline"/>
                <w:lang w:val="en-US" w:eastAsia="zh-CN"/>
              </w:rPr>
              <w:t>%</w:t>
            </w:r>
            <w:r>
              <w:rPr>
                <w:rFonts w:hint="eastAsia"/>
                <w:sz w:val="21"/>
                <w:szCs w:val="21"/>
                <w:vertAlign w:val="baseline"/>
                <w:lang w:val="en-US" w:eastAsia="zh-CN"/>
              </w:rPr>
              <w:t>，禁用</w:t>
            </w:r>
            <w:r>
              <w:rPr>
                <w:rFonts w:hint="default"/>
                <w:sz w:val="21"/>
                <w:szCs w:val="21"/>
                <w:vertAlign w:val="baseline"/>
                <w:lang w:val="en-US" w:eastAsia="zh-CN"/>
              </w:rPr>
              <w:t>多溴联苯（PBB）及多溴联苯醚（PBDE）。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7</w:t>
            </w:r>
          </w:p>
        </w:tc>
        <w:tc>
          <w:tcPr>
            <w:tcW w:w="1118" w:type="dxa"/>
            <w:vAlign w:val="center"/>
          </w:tcPr>
          <w:p>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水性漆</w:t>
            </w:r>
          </w:p>
        </w:tc>
        <w:tc>
          <w:tcPr>
            <w:tcW w:w="8631" w:type="dxa"/>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检测依据：GB18581-2020《木器涂料中有害物质限量》，GB/T23990-2009《涂料中苯、甲苯、乙苯和二甲苯含量的测定 气相色谱法》，GB/T23993-2009《水性涂料中甲醛含量的测定 乙酰丙酮分光光度法》，GB/T23991-2009《涂料中可溶性有害元素含量的测定》，GB/T30647-2014《涂料中有害元素总含量的测定》；</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w:t>
            </w:r>
            <w:r>
              <w:rPr>
                <w:rFonts w:hint="default"/>
                <w:sz w:val="21"/>
                <w:szCs w:val="21"/>
                <w:vertAlign w:val="baseline"/>
                <w:lang w:val="en-US" w:eastAsia="zh-CN"/>
              </w:rPr>
              <w:t>VOC含量≤</w:t>
            </w:r>
            <w:r>
              <w:rPr>
                <w:rFonts w:hint="eastAsia"/>
                <w:sz w:val="21"/>
                <w:szCs w:val="21"/>
                <w:vertAlign w:val="baseline"/>
                <w:lang w:val="en-US" w:eastAsia="zh-CN"/>
              </w:rPr>
              <w:t>550</w:t>
            </w:r>
            <w:r>
              <w:rPr>
                <w:rFonts w:hint="default"/>
                <w:sz w:val="21"/>
                <w:szCs w:val="21"/>
                <w:vertAlign w:val="baseline"/>
                <w:lang w:val="en-US" w:eastAsia="zh-CN"/>
              </w:rPr>
              <w:t>g/L</w:t>
            </w:r>
            <w:r>
              <w:rPr>
                <w:rFonts w:hint="eastAsia"/>
                <w:sz w:val="21"/>
                <w:szCs w:val="21"/>
                <w:vertAlign w:val="baseline"/>
                <w:lang w:val="en-US" w:eastAsia="zh-CN"/>
              </w:rPr>
              <w:t>，</w:t>
            </w:r>
            <w:r>
              <w:rPr>
                <w:rFonts w:hint="default"/>
                <w:sz w:val="21"/>
                <w:szCs w:val="21"/>
                <w:vertAlign w:val="baseline"/>
                <w:lang w:val="en-US" w:eastAsia="zh-CN"/>
              </w:rPr>
              <w:t>甲醛含量≤</w:t>
            </w:r>
            <w:r>
              <w:rPr>
                <w:rFonts w:hint="eastAsia"/>
                <w:sz w:val="21"/>
                <w:szCs w:val="21"/>
                <w:vertAlign w:val="baseline"/>
                <w:lang w:val="en-US" w:eastAsia="zh-CN"/>
              </w:rPr>
              <w:t>100</w:t>
            </w:r>
            <w:r>
              <w:rPr>
                <w:rFonts w:hint="default"/>
                <w:sz w:val="21"/>
                <w:szCs w:val="21"/>
                <w:vertAlign w:val="baseline"/>
                <w:lang w:val="en-US" w:eastAsia="zh-CN"/>
              </w:rPr>
              <w:t>0mg/kg</w:t>
            </w:r>
            <w:r>
              <w:rPr>
                <w:rFonts w:hint="eastAsia"/>
                <w:sz w:val="21"/>
                <w:szCs w:val="21"/>
                <w:vertAlign w:val="baseline"/>
                <w:lang w:val="en-US" w:eastAsia="zh-CN"/>
              </w:rPr>
              <w:t>，</w:t>
            </w:r>
            <w:r>
              <w:rPr>
                <w:rFonts w:hint="default"/>
                <w:sz w:val="21"/>
                <w:szCs w:val="21"/>
                <w:vertAlign w:val="baseline"/>
                <w:lang w:val="en-US" w:eastAsia="zh-CN"/>
              </w:rPr>
              <w:t>总铅（Pb）含量≤</w:t>
            </w:r>
            <w:r>
              <w:rPr>
                <w:rFonts w:hint="eastAsia"/>
                <w:sz w:val="21"/>
                <w:szCs w:val="21"/>
                <w:vertAlign w:val="baseline"/>
                <w:lang w:val="en-US" w:eastAsia="zh-CN"/>
              </w:rPr>
              <w:t>90</w:t>
            </w:r>
            <w:r>
              <w:rPr>
                <w:rFonts w:hint="default"/>
                <w:sz w:val="21"/>
                <w:szCs w:val="21"/>
                <w:vertAlign w:val="baseline"/>
                <w:lang w:val="en-US" w:eastAsia="zh-CN"/>
              </w:rPr>
              <w:t>mg/kg</w:t>
            </w:r>
            <w:r>
              <w:rPr>
                <w:rFonts w:hint="eastAsia"/>
                <w:sz w:val="21"/>
                <w:szCs w:val="21"/>
                <w:vertAlign w:val="baseline"/>
                <w:lang w:val="en-US" w:eastAsia="zh-CN"/>
              </w:rPr>
              <w:t>，</w:t>
            </w:r>
            <w:r>
              <w:rPr>
                <w:rFonts w:hint="default"/>
                <w:sz w:val="21"/>
                <w:szCs w:val="21"/>
                <w:vertAlign w:val="baseline"/>
                <w:lang w:val="en-US" w:eastAsia="zh-CN"/>
              </w:rPr>
              <w:t>可溶性重金属含量（镉（Cd）含量≤</w:t>
            </w:r>
            <w:r>
              <w:rPr>
                <w:rFonts w:hint="eastAsia"/>
                <w:sz w:val="21"/>
                <w:szCs w:val="21"/>
                <w:vertAlign w:val="baseline"/>
                <w:lang w:val="en-US" w:eastAsia="zh-CN"/>
              </w:rPr>
              <w:t>75</w:t>
            </w:r>
            <w:r>
              <w:rPr>
                <w:rFonts w:hint="default"/>
                <w:sz w:val="21"/>
                <w:szCs w:val="21"/>
                <w:vertAlign w:val="baseline"/>
                <w:lang w:val="en-US" w:eastAsia="zh-CN"/>
              </w:rPr>
              <w:t>mg/kg</w:t>
            </w:r>
            <w:r>
              <w:rPr>
                <w:rFonts w:hint="eastAsia"/>
                <w:sz w:val="21"/>
                <w:szCs w:val="21"/>
                <w:vertAlign w:val="baseline"/>
                <w:lang w:val="en-US" w:eastAsia="zh-CN"/>
              </w:rPr>
              <w:t>，</w:t>
            </w:r>
            <w:r>
              <w:rPr>
                <w:rFonts w:hint="default"/>
                <w:sz w:val="21"/>
                <w:szCs w:val="21"/>
                <w:vertAlign w:val="baseline"/>
                <w:lang w:val="en-US" w:eastAsia="zh-CN"/>
              </w:rPr>
              <w:t>铬（Cr）含量≤</w:t>
            </w:r>
            <w:r>
              <w:rPr>
                <w:rFonts w:hint="eastAsia"/>
                <w:sz w:val="21"/>
                <w:szCs w:val="21"/>
                <w:vertAlign w:val="baseline"/>
                <w:lang w:val="en-US" w:eastAsia="zh-CN"/>
              </w:rPr>
              <w:t>60</w:t>
            </w:r>
            <w:r>
              <w:rPr>
                <w:rFonts w:hint="default"/>
                <w:sz w:val="21"/>
                <w:szCs w:val="21"/>
                <w:vertAlign w:val="baseline"/>
                <w:lang w:val="en-US" w:eastAsia="zh-CN"/>
              </w:rPr>
              <w:t>mg/kg</w:t>
            </w:r>
            <w:r>
              <w:rPr>
                <w:rFonts w:hint="eastAsia"/>
                <w:sz w:val="21"/>
                <w:szCs w:val="21"/>
                <w:vertAlign w:val="baseline"/>
                <w:lang w:val="en-US" w:eastAsia="zh-CN"/>
              </w:rPr>
              <w:t>，</w:t>
            </w:r>
            <w:r>
              <w:rPr>
                <w:rFonts w:hint="default"/>
                <w:sz w:val="21"/>
                <w:szCs w:val="21"/>
                <w:vertAlign w:val="baseline"/>
                <w:lang w:val="en-US" w:eastAsia="zh-CN"/>
              </w:rPr>
              <w:t>汞（Hg）含量≤</w:t>
            </w:r>
            <w:r>
              <w:rPr>
                <w:rFonts w:hint="eastAsia"/>
                <w:sz w:val="21"/>
                <w:szCs w:val="21"/>
                <w:vertAlign w:val="baseline"/>
                <w:lang w:val="en-US" w:eastAsia="zh-CN"/>
              </w:rPr>
              <w:t>60</w:t>
            </w:r>
            <w:r>
              <w:rPr>
                <w:rFonts w:hint="default"/>
                <w:sz w:val="21"/>
                <w:szCs w:val="21"/>
                <w:vertAlign w:val="baseline"/>
                <w:lang w:val="en-US" w:eastAsia="zh-CN"/>
              </w:rPr>
              <w:t>mg/kg</w:t>
            </w:r>
            <w:r>
              <w:rPr>
                <w:rFonts w:hint="eastAsia"/>
                <w:sz w:val="21"/>
                <w:szCs w:val="21"/>
                <w:vertAlign w:val="baseline"/>
                <w:lang w:val="en-US" w:eastAsia="zh-CN"/>
              </w:rPr>
              <w:t>，</w:t>
            </w:r>
            <w:r>
              <w:rPr>
                <w:rFonts w:hint="default"/>
                <w:sz w:val="21"/>
                <w:szCs w:val="21"/>
                <w:vertAlign w:val="baseline"/>
                <w:lang w:val="en-US" w:eastAsia="zh-CN"/>
              </w:rPr>
              <w:t>）</w:t>
            </w:r>
            <w:r>
              <w:rPr>
                <w:rFonts w:hint="eastAsia"/>
                <w:sz w:val="21"/>
                <w:szCs w:val="21"/>
                <w:vertAlign w:val="baseline"/>
                <w:lang w:val="en-US" w:eastAsia="zh-CN"/>
              </w:rPr>
              <w:t>，</w:t>
            </w:r>
            <w:r>
              <w:rPr>
                <w:rFonts w:hint="default"/>
                <w:sz w:val="21"/>
                <w:szCs w:val="21"/>
                <w:vertAlign w:val="baseline"/>
                <w:lang w:val="en-US" w:eastAsia="zh-CN"/>
              </w:rPr>
              <w:t>苯系物总和含量［限苯、甲苯、二甲苯（含乙苯）］≤</w:t>
            </w:r>
            <w:r>
              <w:rPr>
                <w:rFonts w:hint="eastAsia"/>
                <w:sz w:val="21"/>
                <w:szCs w:val="21"/>
                <w:vertAlign w:val="baseline"/>
                <w:lang w:val="en-US" w:eastAsia="zh-CN"/>
              </w:rPr>
              <w:t>250</w:t>
            </w:r>
            <w:r>
              <w:rPr>
                <w:rFonts w:hint="default"/>
                <w:sz w:val="21"/>
                <w:szCs w:val="21"/>
                <w:vertAlign w:val="baseline"/>
                <w:lang w:val="en-US" w:eastAsia="zh-CN"/>
              </w:rPr>
              <w:t>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8</w:t>
            </w:r>
          </w:p>
        </w:tc>
        <w:tc>
          <w:tcPr>
            <w:tcW w:w="1118" w:type="dxa"/>
            <w:vAlign w:val="center"/>
          </w:tcPr>
          <w:p>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阻燃</w:t>
            </w:r>
            <w:r>
              <w:rPr>
                <w:rFonts w:hint="default"/>
                <w:sz w:val="21"/>
                <w:szCs w:val="21"/>
                <w:vertAlign w:val="baseline"/>
                <w:lang w:val="en-US" w:eastAsia="zh-CN"/>
              </w:rPr>
              <w:t>网布</w:t>
            </w:r>
          </w:p>
        </w:tc>
        <w:tc>
          <w:tcPr>
            <w:tcW w:w="8631" w:type="dxa"/>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检测依据：GB18401-2010《国家纺织产品基本安全技术规范》，GB17927.1-2011《软体家具 床垫和沙发 抗引燃特性的评定 第1部分：阴燃的香烟》；</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w:t>
            </w:r>
            <w:r>
              <w:rPr>
                <w:rFonts w:hint="default"/>
                <w:sz w:val="21"/>
                <w:szCs w:val="21"/>
                <w:vertAlign w:val="baseline"/>
                <w:lang w:val="en-US" w:eastAsia="zh-CN"/>
              </w:rPr>
              <w:t>甲醛含量≤</w:t>
            </w:r>
            <w:r>
              <w:rPr>
                <w:rFonts w:hint="eastAsia"/>
                <w:sz w:val="21"/>
                <w:szCs w:val="21"/>
                <w:vertAlign w:val="baseline"/>
                <w:lang w:val="en-US" w:eastAsia="zh-CN"/>
              </w:rPr>
              <w:t>75</w:t>
            </w:r>
            <w:r>
              <w:rPr>
                <w:rFonts w:hint="default"/>
                <w:sz w:val="21"/>
                <w:szCs w:val="21"/>
                <w:vertAlign w:val="baseline"/>
                <w:lang w:val="en-US" w:eastAsia="zh-CN"/>
              </w:rPr>
              <w:t>mg/kg，</w:t>
            </w:r>
            <w:r>
              <w:rPr>
                <w:rFonts w:hint="eastAsia"/>
                <w:sz w:val="21"/>
                <w:szCs w:val="21"/>
                <w:vertAlign w:val="baseline"/>
                <w:lang w:val="en-US" w:eastAsia="zh-CN"/>
              </w:rPr>
              <w:t>禁用</w:t>
            </w:r>
            <w:r>
              <w:rPr>
                <w:rFonts w:hint="default"/>
                <w:sz w:val="21"/>
                <w:szCs w:val="21"/>
                <w:vertAlign w:val="baseline"/>
                <w:lang w:val="en-US" w:eastAsia="zh-CN"/>
              </w:rPr>
              <w:t>可分解致癌芳香胺染料</w:t>
            </w:r>
            <w:r>
              <w:rPr>
                <w:rFonts w:hint="eastAsia"/>
                <w:sz w:val="21"/>
                <w:szCs w:val="21"/>
                <w:vertAlign w:val="baseline"/>
                <w:lang w:val="en-US" w:eastAsia="zh-CN"/>
              </w:rPr>
              <w:t>和富马酸二甲酯，通过抗引燃性（阴燃的香烟）试验。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9</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海绵</w:t>
            </w:r>
          </w:p>
        </w:tc>
        <w:tc>
          <w:tcPr>
            <w:tcW w:w="8631" w:type="dxa"/>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检测依据：GB/T10802-2023《通用软质聚氨酯泡沫塑料》，HJ2547-2016《环境标志产品技术要求 家具》，QB/T1952.1-2023《软体家具 沙发》，GB17927.1-2011《软体家具 床垫和沙发 抗引燃特性的评定 第1部分：阴燃的香烟》；</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w:t>
            </w:r>
            <w:r>
              <w:rPr>
                <w:rFonts w:hint="default"/>
                <w:sz w:val="21"/>
                <w:szCs w:val="21"/>
                <w:vertAlign w:val="baseline"/>
                <w:lang w:val="en-US" w:eastAsia="zh-CN"/>
              </w:rPr>
              <w:t>回弹率≥</w:t>
            </w:r>
            <w:r>
              <w:rPr>
                <w:rFonts w:hint="eastAsia"/>
                <w:sz w:val="21"/>
                <w:szCs w:val="21"/>
                <w:vertAlign w:val="baseline"/>
                <w:lang w:val="en-US" w:eastAsia="zh-CN"/>
              </w:rPr>
              <w:t>35</w:t>
            </w:r>
            <w:r>
              <w:rPr>
                <w:rFonts w:hint="default"/>
                <w:sz w:val="21"/>
                <w:szCs w:val="21"/>
                <w:vertAlign w:val="baseline"/>
                <w:lang w:val="en-US" w:eastAsia="zh-CN"/>
              </w:rPr>
              <w:t>%，</w:t>
            </w:r>
            <w:r>
              <w:rPr>
                <w:rFonts w:hint="eastAsia"/>
                <w:sz w:val="21"/>
                <w:szCs w:val="21"/>
                <w:vertAlign w:val="baseline"/>
                <w:lang w:val="en-US" w:eastAsia="zh-CN"/>
              </w:rPr>
              <w:t>断裂</w:t>
            </w:r>
            <w:r>
              <w:rPr>
                <w:rFonts w:hint="default"/>
                <w:sz w:val="21"/>
                <w:szCs w:val="21"/>
                <w:vertAlign w:val="baseline"/>
                <w:lang w:val="en-US" w:eastAsia="zh-CN"/>
              </w:rPr>
              <w:t>伸长率≥</w:t>
            </w:r>
            <w:r>
              <w:rPr>
                <w:rFonts w:hint="eastAsia"/>
                <w:sz w:val="21"/>
                <w:szCs w:val="21"/>
                <w:vertAlign w:val="baseline"/>
                <w:lang w:val="en-US" w:eastAsia="zh-CN"/>
              </w:rPr>
              <w:t>130</w:t>
            </w:r>
            <w:r>
              <w:rPr>
                <w:rFonts w:hint="default"/>
                <w:sz w:val="21"/>
                <w:szCs w:val="21"/>
                <w:vertAlign w:val="baseline"/>
                <w:lang w:val="en-US" w:eastAsia="zh-CN"/>
              </w:rPr>
              <w:t>%</w:t>
            </w:r>
            <w:r>
              <w:rPr>
                <w:rFonts w:hint="eastAsia"/>
                <w:sz w:val="21"/>
                <w:szCs w:val="21"/>
                <w:vertAlign w:val="baseline"/>
                <w:lang w:val="en-US" w:eastAsia="zh-CN"/>
              </w:rPr>
              <w:t>，表观</w:t>
            </w:r>
            <w:r>
              <w:rPr>
                <w:rFonts w:hint="default"/>
                <w:sz w:val="21"/>
                <w:szCs w:val="21"/>
                <w:vertAlign w:val="baseline"/>
                <w:lang w:val="en-US" w:eastAsia="zh-CN"/>
              </w:rPr>
              <w:t>密度</w:t>
            </w:r>
            <w:r>
              <w:rPr>
                <w:rFonts w:hint="eastAsia"/>
                <w:sz w:val="21"/>
                <w:szCs w:val="21"/>
                <w:vertAlign w:val="baseline"/>
                <w:lang w:val="en-US" w:eastAsia="zh-CN"/>
              </w:rPr>
              <w:t>25＜ρ35</w:t>
            </w:r>
            <w:r>
              <w:rPr>
                <w:rFonts w:hint="default"/>
                <w:sz w:val="21"/>
                <w:szCs w:val="21"/>
                <w:vertAlign w:val="baseline"/>
                <w:lang w:val="en-US" w:eastAsia="zh-CN"/>
              </w:rPr>
              <w:t>kg/m³，</w:t>
            </w:r>
            <w:r>
              <w:rPr>
                <w:rFonts w:hint="eastAsia"/>
                <w:sz w:val="21"/>
                <w:szCs w:val="21"/>
                <w:vertAlign w:val="baseline"/>
                <w:lang w:val="en-US" w:eastAsia="zh-CN"/>
              </w:rPr>
              <w:t>游离甲醛不超过100mg/kg</w:t>
            </w:r>
            <w:r>
              <w:rPr>
                <w:rFonts w:hint="default"/>
                <w:sz w:val="21"/>
                <w:szCs w:val="21"/>
                <w:vertAlign w:val="baseline"/>
                <w:lang w:val="en-US" w:eastAsia="zh-CN"/>
              </w:rPr>
              <w:t>，</w:t>
            </w:r>
            <w:r>
              <w:rPr>
                <w:rFonts w:hint="eastAsia"/>
                <w:sz w:val="21"/>
                <w:szCs w:val="21"/>
                <w:vertAlign w:val="baseline"/>
                <w:lang w:val="en-US" w:eastAsia="zh-CN"/>
              </w:rPr>
              <w:t>总挥发性有机化合物</w:t>
            </w:r>
            <w:r>
              <w:rPr>
                <w:rFonts w:hint="default"/>
                <w:sz w:val="21"/>
                <w:szCs w:val="21"/>
                <w:vertAlign w:val="baseline"/>
                <w:lang w:val="en-US" w:eastAsia="zh-CN"/>
              </w:rPr>
              <w:t>TVOC≤0.</w:t>
            </w:r>
            <w:r>
              <w:rPr>
                <w:rFonts w:hint="eastAsia"/>
                <w:sz w:val="21"/>
                <w:szCs w:val="21"/>
                <w:vertAlign w:val="baseline"/>
                <w:lang w:val="en-US" w:eastAsia="zh-CN"/>
              </w:rPr>
              <w:t>1</w:t>
            </w:r>
            <w:r>
              <w:rPr>
                <w:rFonts w:hint="default"/>
                <w:sz w:val="21"/>
                <w:szCs w:val="21"/>
                <w:vertAlign w:val="baseline"/>
                <w:lang w:val="en-US" w:eastAsia="zh-CN"/>
              </w:rPr>
              <w:t>mg/</w:t>
            </w:r>
            <w:r>
              <w:rPr>
                <w:rFonts w:hint="eastAsia"/>
                <w:sz w:val="21"/>
                <w:szCs w:val="21"/>
                <w:vertAlign w:val="baseline"/>
                <w:lang w:val="en-US" w:eastAsia="zh-CN"/>
              </w:rPr>
              <w:t>m³</w:t>
            </w:r>
            <w:r>
              <w:rPr>
                <w:rFonts w:hint="default"/>
                <w:sz w:val="21"/>
                <w:szCs w:val="21"/>
                <w:vertAlign w:val="baseline"/>
                <w:lang w:val="en-US" w:eastAsia="zh-CN"/>
              </w:rPr>
              <w:t>，抗引燃特性阻燃Ⅰ级。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10</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三合一连接件</w:t>
            </w:r>
          </w:p>
        </w:tc>
        <w:tc>
          <w:tcPr>
            <w:tcW w:w="8631" w:type="dxa"/>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检测依据：GB/T28203-2011《家具用连接件技术要求及试验方法》，GB/T10125-2021《人造气氛腐蚀试验 盐雾试验》；</w:t>
            </w:r>
          </w:p>
          <w:p>
            <w:pPr>
              <w:spacing w:line="360" w:lineRule="auto"/>
              <w:rPr>
                <w:rFonts w:hint="default"/>
                <w:color w:val="auto"/>
                <w:sz w:val="21"/>
                <w:szCs w:val="21"/>
                <w:vertAlign w:val="baseline"/>
                <w:lang w:val="en-US" w:eastAsia="zh-CN"/>
              </w:rPr>
            </w:pPr>
            <w:r>
              <w:rPr>
                <w:rFonts w:hint="eastAsia"/>
                <w:sz w:val="21"/>
                <w:szCs w:val="21"/>
                <w:vertAlign w:val="baseline"/>
                <w:lang w:val="en-US" w:eastAsia="zh-CN"/>
              </w:rPr>
              <w:t>检测内容：</w:t>
            </w:r>
            <w:r>
              <w:rPr>
                <w:rFonts w:hint="default"/>
                <w:color w:val="auto"/>
                <w:sz w:val="21"/>
                <w:szCs w:val="21"/>
                <w:vertAlign w:val="baseline"/>
                <w:lang w:val="en-US" w:eastAsia="zh-CN"/>
              </w:rPr>
              <w:t>三合一偏心连接件偏心体抗压强度≥</w:t>
            </w:r>
            <w:r>
              <w:rPr>
                <w:rFonts w:hint="eastAsia"/>
                <w:color w:val="auto"/>
                <w:sz w:val="21"/>
                <w:szCs w:val="21"/>
                <w:vertAlign w:val="baseline"/>
                <w:lang w:val="en-US" w:eastAsia="zh-CN"/>
              </w:rPr>
              <w:t>240</w:t>
            </w:r>
            <w:r>
              <w:rPr>
                <w:rFonts w:hint="default"/>
                <w:color w:val="auto"/>
                <w:sz w:val="21"/>
                <w:szCs w:val="21"/>
                <w:vertAlign w:val="baseline"/>
                <w:lang w:val="en-US" w:eastAsia="zh-CN"/>
              </w:rPr>
              <w:t>N，三合一偏心连接件预埋螺母抗拉强度≥</w:t>
            </w:r>
            <w:r>
              <w:rPr>
                <w:rFonts w:hint="eastAsia"/>
                <w:color w:val="auto"/>
                <w:sz w:val="21"/>
                <w:szCs w:val="21"/>
                <w:vertAlign w:val="baseline"/>
                <w:lang w:val="en-US" w:eastAsia="zh-CN"/>
              </w:rPr>
              <w:t>550</w:t>
            </w:r>
            <w:r>
              <w:rPr>
                <w:rFonts w:hint="default"/>
                <w:color w:val="auto"/>
                <w:sz w:val="21"/>
                <w:szCs w:val="21"/>
                <w:vertAlign w:val="baseline"/>
                <w:lang w:val="en-US" w:eastAsia="zh-CN"/>
              </w:rPr>
              <w:t>N，三合一偏心连接件中连接螺杆螺纹与预埋螺母的抗拉强度≥</w:t>
            </w:r>
            <w:r>
              <w:rPr>
                <w:rFonts w:hint="eastAsia"/>
                <w:color w:val="auto"/>
                <w:sz w:val="21"/>
                <w:szCs w:val="21"/>
                <w:vertAlign w:val="baseline"/>
                <w:lang w:val="en-US" w:eastAsia="zh-CN"/>
              </w:rPr>
              <w:t>7</w:t>
            </w:r>
            <w:r>
              <w:rPr>
                <w:rFonts w:hint="default"/>
                <w:color w:val="auto"/>
                <w:sz w:val="21"/>
                <w:szCs w:val="21"/>
                <w:vertAlign w:val="baseline"/>
                <w:lang w:val="en-US" w:eastAsia="zh-CN"/>
              </w:rPr>
              <w:t>00N，三合一偏心连接件中偏心体与连接螺杆的扭矩≥</w:t>
            </w:r>
            <w:r>
              <w:rPr>
                <w:rFonts w:hint="eastAsia"/>
                <w:color w:val="auto"/>
                <w:sz w:val="21"/>
                <w:szCs w:val="21"/>
                <w:vertAlign w:val="baseline"/>
                <w:lang w:val="en-US" w:eastAsia="zh-CN"/>
              </w:rPr>
              <w:t>4</w:t>
            </w:r>
            <w:r>
              <w:rPr>
                <w:rFonts w:hint="default"/>
                <w:color w:val="auto"/>
                <w:sz w:val="21"/>
                <w:szCs w:val="21"/>
                <w:vertAlign w:val="baseline"/>
                <w:lang w:val="en-US" w:eastAsia="zh-CN"/>
              </w:rPr>
              <w:t>.0N·m</w:t>
            </w:r>
            <w:r>
              <w:rPr>
                <w:rFonts w:hint="eastAsia"/>
                <w:color w:val="auto"/>
                <w:sz w:val="21"/>
                <w:szCs w:val="21"/>
                <w:vertAlign w:val="baseline"/>
                <w:lang w:val="en-US" w:eastAsia="zh-CN"/>
              </w:rPr>
              <w:t>，通过中性</w:t>
            </w:r>
            <w:r>
              <w:rPr>
                <w:rFonts w:hint="default"/>
                <w:color w:val="auto"/>
                <w:sz w:val="21"/>
                <w:szCs w:val="21"/>
                <w:vertAlign w:val="baseline"/>
                <w:lang w:val="en-US" w:eastAsia="zh-CN"/>
              </w:rPr>
              <w:t>盐雾试验。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11</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西皮</w:t>
            </w:r>
          </w:p>
        </w:tc>
        <w:tc>
          <w:tcPr>
            <w:tcW w:w="8631" w:type="dxa"/>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检测依据：QB/T2709-2005《皮革 物理和机械试验 厚度的测定》，GB/T16799-2018《家具用皮革》，GB/T19941.2-2019《皮革和毛皮 甲醛含量的测定 第2部分:分光光度法》；</w:t>
            </w:r>
          </w:p>
          <w:p>
            <w:pPr>
              <w:spacing w:line="360" w:lineRule="auto"/>
              <w:rPr>
                <w:rFonts w:hint="default"/>
                <w:color w:val="auto"/>
                <w:sz w:val="21"/>
                <w:szCs w:val="21"/>
                <w:vertAlign w:val="baseline"/>
                <w:lang w:val="en-US" w:eastAsia="zh-CN"/>
              </w:rPr>
            </w:pPr>
            <w:r>
              <w:rPr>
                <w:rFonts w:hint="eastAsia"/>
                <w:sz w:val="21"/>
                <w:szCs w:val="21"/>
                <w:vertAlign w:val="baseline"/>
                <w:lang w:val="en-US" w:eastAsia="zh-CN"/>
              </w:rPr>
              <w:t>检测内容：</w:t>
            </w:r>
            <w:r>
              <w:rPr>
                <w:rFonts w:hint="eastAsia"/>
                <w:color w:val="auto"/>
                <w:sz w:val="21"/>
                <w:szCs w:val="21"/>
                <w:vertAlign w:val="baseline"/>
                <w:lang w:val="en-US" w:eastAsia="zh-CN"/>
              </w:rPr>
              <w:t>厚度≥1.1mm，气味达到1级，可萃取的重金属铅≤90mg/kg，可萃取的重金属镉≤75mg/kg，甲醛含量≤75mg/kg，禁用偶氮染料≤30mg/kg，挥发性有机物VOC≤150mg/kg。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12</w:t>
            </w:r>
          </w:p>
        </w:tc>
        <w:tc>
          <w:tcPr>
            <w:tcW w:w="1118" w:type="dxa"/>
            <w:vAlign w:val="center"/>
          </w:tcPr>
          <w:p>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阻尼</w:t>
            </w:r>
            <w:r>
              <w:rPr>
                <w:rFonts w:hint="default"/>
                <w:sz w:val="21"/>
                <w:szCs w:val="21"/>
                <w:vertAlign w:val="baseline"/>
                <w:lang w:val="en-US" w:eastAsia="zh-CN"/>
              </w:rPr>
              <w:t>导轨</w:t>
            </w:r>
          </w:p>
        </w:tc>
        <w:tc>
          <w:tcPr>
            <w:tcW w:w="8631" w:type="dxa"/>
            <w:vAlign w:val="center"/>
          </w:tcPr>
          <w:p>
            <w:pPr>
              <w:spacing w:line="360" w:lineRule="auto"/>
              <w:rPr>
                <w:rFonts w:hint="default"/>
                <w:sz w:val="21"/>
                <w:szCs w:val="21"/>
                <w:vertAlign w:val="baseline"/>
                <w:lang w:val="en-US" w:eastAsia="zh-CN"/>
              </w:rPr>
            </w:pPr>
            <w:r>
              <w:rPr>
                <w:rFonts w:hint="eastAsia"/>
                <w:sz w:val="21"/>
                <w:szCs w:val="21"/>
                <w:vertAlign w:val="baseline"/>
                <w:lang w:val="en-US" w:eastAsia="zh-CN"/>
              </w:rPr>
              <w:t>检测依据：QB/T2454-2013《家具五金 抽屉导轨》，QB/T3826-1999《轻工产品金属镀层和化学处理层的耐腐蚀试验方法 中性盐雾试验(NSS)法》，QB/T3832-1999《轻工产品金属镀层腐蚀试验结果的评价》；</w:t>
            </w:r>
          </w:p>
          <w:p>
            <w:pPr>
              <w:spacing w:line="360" w:lineRule="auto"/>
              <w:rPr>
                <w:rFonts w:hint="default"/>
                <w:color w:val="auto"/>
                <w:sz w:val="21"/>
                <w:szCs w:val="21"/>
                <w:vertAlign w:val="baseline"/>
                <w:lang w:val="en-US" w:eastAsia="zh-CN"/>
              </w:rPr>
            </w:pPr>
            <w:r>
              <w:rPr>
                <w:rFonts w:hint="eastAsia"/>
                <w:sz w:val="21"/>
                <w:szCs w:val="21"/>
                <w:vertAlign w:val="baseline"/>
                <w:lang w:val="en-US" w:eastAsia="zh-CN"/>
              </w:rPr>
              <w:t>检测内容：</w:t>
            </w:r>
            <w:r>
              <w:rPr>
                <w:rFonts w:hint="default"/>
                <w:color w:val="auto"/>
                <w:sz w:val="21"/>
                <w:szCs w:val="21"/>
                <w:vertAlign w:val="baseline"/>
                <w:lang w:val="en-US" w:eastAsia="zh-CN"/>
              </w:rPr>
              <w:t>过载</w:t>
            </w:r>
            <w:r>
              <w:rPr>
                <w:rFonts w:hint="eastAsia"/>
                <w:color w:val="auto"/>
                <w:sz w:val="21"/>
                <w:szCs w:val="21"/>
                <w:vertAlign w:val="baseline"/>
                <w:lang w:val="en-US" w:eastAsia="zh-CN"/>
              </w:rPr>
              <w:t>试验</w:t>
            </w:r>
            <w:r>
              <w:rPr>
                <w:rFonts w:hint="default"/>
                <w:color w:val="auto"/>
                <w:sz w:val="21"/>
                <w:szCs w:val="21"/>
                <w:vertAlign w:val="baseline"/>
                <w:lang w:val="en-US" w:eastAsia="zh-CN"/>
              </w:rPr>
              <w:t>：垂直</w:t>
            </w:r>
            <w:r>
              <w:rPr>
                <w:rFonts w:hint="eastAsia"/>
                <w:color w:val="auto"/>
                <w:sz w:val="21"/>
                <w:szCs w:val="21"/>
                <w:vertAlign w:val="baseline"/>
                <w:lang w:val="en-US" w:eastAsia="zh-CN"/>
              </w:rPr>
              <w:t>向下</w:t>
            </w:r>
            <w:r>
              <w:rPr>
                <w:rFonts w:hint="default"/>
                <w:color w:val="auto"/>
                <w:sz w:val="21"/>
                <w:szCs w:val="21"/>
                <w:vertAlign w:val="baseline"/>
                <w:lang w:val="en-US" w:eastAsia="zh-CN"/>
              </w:rPr>
              <w:t>静载荷、水平</w:t>
            </w:r>
            <w:r>
              <w:rPr>
                <w:rFonts w:hint="eastAsia"/>
                <w:color w:val="auto"/>
                <w:sz w:val="21"/>
                <w:szCs w:val="21"/>
                <w:vertAlign w:val="baseline"/>
                <w:lang w:val="en-US" w:eastAsia="zh-CN"/>
              </w:rPr>
              <w:t>侧向</w:t>
            </w:r>
            <w:r>
              <w:rPr>
                <w:rFonts w:hint="default"/>
                <w:color w:val="auto"/>
                <w:sz w:val="21"/>
                <w:szCs w:val="21"/>
                <w:vertAlign w:val="baseline"/>
                <w:lang w:val="en-US" w:eastAsia="zh-CN"/>
              </w:rPr>
              <w:t>静载荷，检验检测结果为符合要求；下沉量不应</w:t>
            </w:r>
            <w:r>
              <w:rPr>
                <w:rFonts w:hint="eastAsia"/>
                <w:color w:val="auto"/>
                <w:sz w:val="21"/>
                <w:szCs w:val="21"/>
                <w:vertAlign w:val="baseline"/>
                <w:lang w:val="en-US" w:eastAsia="zh-CN"/>
              </w:rPr>
              <w:t>超过抽屉导轨拉出长度的4%，</w:t>
            </w:r>
            <w:r>
              <w:rPr>
                <w:rFonts w:hint="default"/>
                <w:color w:val="auto"/>
                <w:sz w:val="21"/>
                <w:szCs w:val="21"/>
                <w:vertAlign w:val="baseline"/>
                <w:lang w:val="en-US" w:eastAsia="zh-CN"/>
              </w:rPr>
              <w:t>操作力</w:t>
            </w:r>
            <w:r>
              <w:rPr>
                <w:rFonts w:hint="eastAsia"/>
                <w:color w:val="auto"/>
                <w:sz w:val="21"/>
                <w:szCs w:val="21"/>
                <w:vertAlign w:val="baseline"/>
                <w:lang w:val="en-US" w:eastAsia="zh-CN"/>
              </w:rPr>
              <w:t>（</w:t>
            </w:r>
            <w:r>
              <w:rPr>
                <w:rFonts w:hint="default"/>
                <w:color w:val="auto"/>
                <w:sz w:val="21"/>
                <w:szCs w:val="21"/>
                <w:vertAlign w:val="baseline"/>
                <w:lang w:val="en-US" w:eastAsia="zh-CN"/>
              </w:rPr>
              <w:t>耐久性试验前</w:t>
            </w:r>
            <w:r>
              <w:rPr>
                <w:rFonts w:hint="eastAsia"/>
                <w:color w:val="auto"/>
                <w:sz w:val="21"/>
                <w:szCs w:val="21"/>
                <w:vertAlign w:val="baseline"/>
                <w:lang w:val="en-US" w:eastAsia="zh-CN"/>
              </w:rPr>
              <w:t>推力、</w:t>
            </w:r>
            <w:r>
              <w:rPr>
                <w:rFonts w:hint="default"/>
                <w:color w:val="auto"/>
                <w:sz w:val="21"/>
                <w:szCs w:val="21"/>
                <w:vertAlign w:val="baseline"/>
                <w:lang w:val="en-US" w:eastAsia="zh-CN"/>
              </w:rPr>
              <w:t>耐久性试验</w:t>
            </w:r>
            <w:r>
              <w:rPr>
                <w:rFonts w:hint="eastAsia"/>
                <w:color w:val="auto"/>
                <w:sz w:val="21"/>
                <w:szCs w:val="21"/>
                <w:vertAlign w:val="baseline"/>
                <w:lang w:val="en-US" w:eastAsia="zh-CN"/>
              </w:rPr>
              <w:t>前拉力、耐久试验后推力、耐久试验后拉力）≤50M，</w:t>
            </w:r>
            <w:r>
              <w:rPr>
                <w:rFonts w:hint="default"/>
                <w:color w:val="auto"/>
                <w:sz w:val="21"/>
                <w:szCs w:val="21"/>
                <w:vertAlign w:val="baseline"/>
                <w:lang w:val="en-US" w:eastAsia="zh-CN"/>
              </w:rPr>
              <w:t>功能</w:t>
            </w:r>
            <w:r>
              <w:rPr>
                <w:rFonts w:hint="eastAsia"/>
                <w:color w:val="auto"/>
                <w:sz w:val="21"/>
                <w:szCs w:val="21"/>
                <w:vertAlign w:val="baseline"/>
                <w:lang w:val="en-US" w:eastAsia="zh-CN"/>
              </w:rPr>
              <w:t>试验</w:t>
            </w:r>
            <w:r>
              <w:rPr>
                <w:rFonts w:hint="default"/>
                <w:color w:val="auto"/>
                <w:sz w:val="21"/>
                <w:szCs w:val="21"/>
                <w:vertAlign w:val="baseline"/>
                <w:lang w:val="en-US" w:eastAsia="zh-CN"/>
              </w:rPr>
              <w:t>：垂直</w:t>
            </w:r>
            <w:r>
              <w:rPr>
                <w:rFonts w:hint="eastAsia"/>
                <w:color w:val="auto"/>
                <w:sz w:val="21"/>
                <w:szCs w:val="21"/>
                <w:vertAlign w:val="baseline"/>
                <w:lang w:val="en-US" w:eastAsia="zh-CN"/>
              </w:rPr>
              <w:t>向下</w:t>
            </w:r>
            <w:r>
              <w:rPr>
                <w:rFonts w:hint="default"/>
                <w:color w:val="auto"/>
                <w:sz w:val="21"/>
                <w:szCs w:val="21"/>
                <w:vertAlign w:val="baseline"/>
                <w:lang w:val="en-US" w:eastAsia="zh-CN"/>
              </w:rPr>
              <w:t>静载荷、水平</w:t>
            </w:r>
            <w:r>
              <w:rPr>
                <w:rFonts w:hint="eastAsia"/>
                <w:color w:val="auto"/>
                <w:sz w:val="21"/>
                <w:szCs w:val="21"/>
                <w:vertAlign w:val="baseline"/>
                <w:lang w:val="en-US" w:eastAsia="zh-CN"/>
              </w:rPr>
              <w:t>侧向</w:t>
            </w:r>
            <w:r>
              <w:rPr>
                <w:rFonts w:hint="default"/>
                <w:color w:val="auto"/>
                <w:sz w:val="21"/>
                <w:szCs w:val="21"/>
                <w:vertAlign w:val="baseline"/>
                <w:lang w:val="en-US" w:eastAsia="zh-CN"/>
              </w:rPr>
              <w:t>静载荷</w:t>
            </w:r>
            <w:r>
              <w:rPr>
                <w:rFonts w:hint="eastAsia"/>
                <w:color w:val="auto"/>
                <w:sz w:val="21"/>
                <w:szCs w:val="21"/>
                <w:vertAlign w:val="baseline"/>
                <w:lang w:val="en-US" w:eastAsia="zh-CN"/>
              </w:rPr>
              <w:t>、</w:t>
            </w:r>
            <w:r>
              <w:rPr>
                <w:rFonts w:hint="default"/>
                <w:color w:val="auto"/>
                <w:sz w:val="21"/>
                <w:szCs w:val="21"/>
                <w:vertAlign w:val="baseline"/>
                <w:lang w:val="en-US" w:eastAsia="zh-CN"/>
              </w:rPr>
              <w:t>耐久性</w:t>
            </w:r>
            <w:r>
              <w:rPr>
                <w:rFonts w:hint="eastAsia"/>
                <w:color w:val="auto"/>
                <w:sz w:val="21"/>
                <w:szCs w:val="21"/>
                <w:vertAlign w:val="baseline"/>
                <w:lang w:val="en-US" w:eastAsia="zh-CN"/>
              </w:rPr>
              <w:t>、抽屉导轨组件结构强度、抽屉导轨组件底部变形、拉出安全性、猛开、猛关</w:t>
            </w:r>
            <w:r>
              <w:rPr>
                <w:rFonts w:hint="default"/>
                <w:color w:val="auto"/>
                <w:sz w:val="21"/>
                <w:szCs w:val="21"/>
                <w:vertAlign w:val="baseline"/>
                <w:lang w:val="en-US" w:eastAsia="zh-CN"/>
              </w:rPr>
              <w:t>，检验检测结果为符合要求；</w:t>
            </w:r>
            <w:r>
              <w:rPr>
                <w:rFonts w:hint="eastAsia"/>
                <w:color w:val="auto"/>
                <w:sz w:val="21"/>
                <w:szCs w:val="21"/>
                <w:vertAlign w:val="baseline"/>
                <w:lang w:val="en-US" w:eastAsia="zh-CN"/>
              </w:rPr>
              <w:t>通过中性</w:t>
            </w:r>
            <w:r>
              <w:rPr>
                <w:rFonts w:hint="default"/>
                <w:color w:val="auto"/>
                <w:sz w:val="21"/>
                <w:szCs w:val="21"/>
                <w:vertAlign w:val="baseline"/>
                <w:lang w:val="en-US" w:eastAsia="zh-CN"/>
              </w:rPr>
              <w:t>盐雾试验。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13</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铰链</w:t>
            </w:r>
          </w:p>
        </w:tc>
        <w:tc>
          <w:tcPr>
            <w:tcW w:w="8631" w:type="dxa"/>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检测依据：QB/T2189-2013《家具五金 杯状暗铰链》，QB/T3826-1999《轻工产品金属镀层和化学处理层的耐腐蚀试验方法 中性盐雾试验(NSS)法》，QB/T3832-1999《轻工产品金属镀层腐蚀试验结果的评价》；</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w:t>
            </w:r>
            <w:r>
              <w:rPr>
                <w:rFonts w:hint="eastAsia" w:cs="宋体"/>
                <w:color w:val="000000"/>
                <w:sz w:val="21"/>
                <w:szCs w:val="21"/>
                <w:highlight w:val="none"/>
                <w:lang w:val="en-US" w:eastAsia="zh-CN"/>
              </w:rPr>
              <w:t>过载</w:t>
            </w:r>
            <w:r>
              <w:rPr>
                <w:rFonts w:hint="eastAsia"/>
                <w:color w:val="auto"/>
                <w:sz w:val="21"/>
                <w:szCs w:val="21"/>
                <w:vertAlign w:val="baseline"/>
                <w:lang w:val="en-US" w:eastAsia="zh-CN"/>
              </w:rPr>
              <w:t>试验</w:t>
            </w:r>
            <w:r>
              <w:rPr>
                <w:rFonts w:hint="eastAsia" w:cs="宋体"/>
                <w:color w:val="000000"/>
                <w:sz w:val="21"/>
                <w:szCs w:val="21"/>
                <w:highlight w:val="none"/>
                <w:lang w:val="en-US" w:eastAsia="zh-CN"/>
              </w:rPr>
              <w:t>：垂直静载荷、水平静载荷</w:t>
            </w:r>
            <w:r>
              <w:rPr>
                <w:rFonts w:hint="default"/>
                <w:color w:val="auto"/>
                <w:sz w:val="21"/>
                <w:szCs w:val="21"/>
                <w:vertAlign w:val="baseline"/>
                <w:lang w:val="en-US" w:eastAsia="zh-CN"/>
              </w:rPr>
              <w:t>，检验检测结果为符合要求；</w:t>
            </w:r>
            <w:r>
              <w:rPr>
                <w:rFonts w:hint="eastAsia" w:cs="宋体"/>
                <w:color w:val="000000"/>
                <w:sz w:val="21"/>
                <w:szCs w:val="21"/>
                <w:highlight w:val="none"/>
                <w:lang w:val="en-US" w:eastAsia="zh-CN"/>
              </w:rPr>
              <w:t>下沉量试验 安装A型试验门时，下沉量不大于2.0mm，操作力（耐久试验前打开力、耐久试验前关闭力、耐久试验后打开力、耐久试验后关闭力）≤20N，功能试验：垂直静载荷、水平静载荷、耐久性，</w:t>
            </w:r>
            <w:r>
              <w:rPr>
                <w:rFonts w:hint="default"/>
                <w:color w:val="auto"/>
                <w:sz w:val="21"/>
                <w:szCs w:val="21"/>
                <w:vertAlign w:val="baseline"/>
                <w:lang w:val="en-US" w:eastAsia="zh-CN"/>
              </w:rPr>
              <w:t>检验检测结果为符合要求；</w:t>
            </w:r>
            <w:r>
              <w:rPr>
                <w:rFonts w:hint="eastAsia" w:cs="宋体"/>
                <w:color w:val="000000"/>
                <w:sz w:val="21"/>
                <w:szCs w:val="21"/>
                <w:highlight w:val="none"/>
                <w:lang w:val="en-US" w:eastAsia="zh-CN"/>
              </w:rPr>
              <w:t>通过中性盐雾试验。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14</w:t>
            </w:r>
          </w:p>
        </w:tc>
        <w:tc>
          <w:tcPr>
            <w:tcW w:w="1118" w:type="dxa"/>
            <w:vAlign w:val="center"/>
          </w:tcPr>
          <w:p>
            <w:pPr>
              <w:spacing w:line="240" w:lineRule="auto"/>
              <w:jc w:val="center"/>
              <w:rPr>
                <w:rFonts w:hint="default"/>
                <w:sz w:val="21"/>
                <w:szCs w:val="21"/>
                <w:vertAlign w:val="baseline"/>
                <w:lang w:val="en-US" w:eastAsia="zh-CN"/>
              </w:rPr>
            </w:pPr>
            <w:r>
              <w:rPr>
                <w:rFonts w:hint="eastAsia"/>
                <w:sz w:val="21"/>
                <w:szCs w:val="21"/>
                <w:vertAlign w:val="baseline"/>
                <w:lang w:val="en-US" w:eastAsia="zh-CN"/>
              </w:rPr>
              <w:t>聚氨酯材料</w:t>
            </w:r>
          </w:p>
        </w:tc>
        <w:tc>
          <w:tcPr>
            <w:tcW w:w="8631" w:type="dxa"/>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检测依据：GB28481-2012《塑料家具中有害物质限量》；</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检测内容：邻苯二甲酸酯≤0.1%，可溶性铅≤90mg/kg，可溶性镉≤75mg/kg，可溶性铬≤60mg/kg，可溶性汞≤60mg/kg。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15</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气压棒</w:t>
            </w:r>
          </w:p>
        </w:tc>
        <w:tc>
          <w:tcPr>
            <w:tcW w:w="8631" w:type="dxa"/>
            <w:shd w:val="clear" w:color="auto" w:fill="auto"/>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检测依据：GB/T29525-2013《座椅升降气弹簧技术条件》，QB/T3826-1999《轻工产品金属镀层和化学处理层的耐腐蚀试验方法中性盐雾试验(NSS)法》QB/T3832-1999《轻工产品金属镀层腐蚀试验结果的评价》；</w:t>
            </w:r>
          </w:p>
          <w:p>
            <w:pPr>
              <w:spacing w:line="360" w:lineRule="auto"/>
              <w:rPr>
                <w:rFonts w:hint="default" w:ascii="宋体" w:hAnsi="宋体" w:eastAsia="宋体" w:cs="宋体"/>
                <w:color w:val="auto"/>
                <w:kern w:val="2"/>
                <w:sz w:val="21"/>
                <w:szCs w:val="21"/>
                <w:vertAlign w:val="baseline"/>
                <w:lang w:val="en-US" w:eastAsia="zh-CN" w:bidi="ar-SA"/>
              </w:rPr>
            </w:pPr>
            <w:r>
              <w:rPr>
                <w:rFonts w:hint="eastAsia"/>
                <w:sz w:val="21"/>
                <w:szCs w:val="21"/>
                <w:vertAlign w:val="baseline"/>
                <w:lang w:val="en-US" w:eastAsia="zh-CN"/>
              </w:rPr>
              <w:t>检测内容：</w:t>
            </w:r>
            <w:r>
              <w:rPr>
                <w:rFonts w:hint="default" w:ascii="宋体" w:hAnsi="宋体" w:eastAsia="宋体" w:cs="宋体"/>
                <w:color w:val="auto"/>
                <w:kern w:val="2"/>
                <w:sz w:val="21"/>
                <w:szCs w:val="21"/>
                <w:vertAlign w:val="baseline"/>
                <w:lang w:val="en-US" w:eastAsia="zh-CN" w:bidi="ar-SA"/>
              </w:rPr>
              <w:t>气弹簧</w:t>
            </w:r>
            <w:r>
              <w:rPr>
                <w:rFonts w:hint="eastAsia" w:cs="宋体"/>
                <w:color w:val="auto"/>
                <w:kern w:val="2"/>
                <w:sz w:val="21"/>
                <w:szCs w:val="21"/>
                <w:vertAlign w:val="baseline"/>
                <w:lang w:val="en-US" w:eastAsia="zh-CN" w:bidi="ar-SA"/>
              </w:rPr>
              <w:t>的伸展速度应在70~150mm/s</w:t>
            </w:r>
            <w:r>
              <w:rPr>
                <w:rFonts w:hint="default" w:ascii="宋体" w:hAnsi="宋体" w:eastAsia="宋体" w:cs="宋体"/>
                <w:color w:val="auto"/>
                <w:kern w:val="2"/>
                <w:sz w:val="21"/>
                <w:szCs w:val="21"/>
                <w:vertAlign w:val="baseline"/>
                <w:lang w:val="en-US" w:eastAsia="zh-CN" w:bidi="ar-SA"/>
              </w:rPr>
              <w:t>，气弹簧锁定在任意位置，经72h常温储存后，活塞杆不应产生位移</w:t>
            </w:r>
            <w:r>
              <w:rPr>
                <w:rFonts w:hint="eastAsia" w:cs="宋体"/>
                <w:color w:val="auto"/>
                <w:kern w:val="2"/>
                <w:sz w:val="21"/>
                <w:szCs w:val="21"/>
                <w:vertAlign w:val="baseline"/>
                <w:lang w:val="en-US" w:eastAsia="zh-CN" w:bidi="ar-SA"/>
              </w:rPr>
              <w:t>，</w:t>
            </w:r>
            <w:r>
              <w:rPr>
                <w:rFonts w:hint="default" w:ascii="宋体" w:hAnsi="宋体" w:eastAsia="宋体" w:cs="宋体"/>
                <w:color w:val="auto"/>
                <w:kern w:val="2"/>
                <w:sz w:val="21"/>
                <w:szCs w:val="21"/>
                <w:vertAlign w:val="baseline"/>
                <w:lang w:val="en-US" w:eastAsia="zh-CN" w:bidi="ar-SA"/>
              </w:rPr>
              <w:t>经</w:t>
            </w:r>
            <w:r>
              <w:rPr>
                <w:rFonts w:hint="eastAsia" w:cs="宋体"/>
                <w:color w:val="auto"/>
                <w:kern w:val="2"/>
                <w:sz w:val="21"/>
                <w:szCs w:val="21"/>
                <w:vertAlign w:val="baseline"/>
                <w:lang w:val="en-US" w:eastAsia="zh-CN" w:bidi="ar-SA"/>
              </w:rPr>
              <w:t>经高低温性能试验后</w:t>
            </w:r>
            <w:r>
              <w:rPr>
                <w:rFonts w:hint="default" w:ascii="宋体" w:hAnsi="宋体" w:eastAsia="宋体" w:cs="宋体"/>
                <w:color w:val="auto"/>
                <w:kern w:val="2"/>
                <w:sz w:val="21"/>
                <w:szCs w:val="21"/>
                <w:vertAlign w:val="baseline"/>
                <w:lang w:val="en-US" w:eastAsia="zh-CN" w:bidi="ar-SA"/>
              </w:rPr>
              <w:t>气弹簧</w:t>
            </w:r>
            <w:r>
              <w:rPr>
                <w:rFonts w:hint="eastAsia" w:ascii="宋体" w:hAnsi="宋体" w:eastAsia="宋体" w:cs="宋体"/>
                <w:color w:val="auto"/>
                <w:kern w:val="2"/>
                <w:sz w:val="21"/>
                <w:szCs w:val="21"/>
                <w:vertAlign w:val="baseline"/>
                <w:lang w:val="en-US" w:eastAsia="zh-CN" w:bidi="ar-SA"/>
              </w:rPr>
              <w:t>再经6×10</w:t>
            </w:r>
            <w:r>
              <w:rPr>
                <w:rFonts w:hint="eastAsia" w:ascii="宋体" w:hAnsi="宋体" w:eastAsia="宋体" w:cs="宋体"/>
                <w:color w:val="auto"/>
                <w:kern w:val="2"/>
                <w:sz w:val="21"/>
                <w:szCs w:val="21"/>
                <w:vertAlign w:val="superscript"/>
                <w:lang w:val="en-US" w:eastAsia="zh-CN" w:bidi="ar-SA"/>
              </w:rPr>
              <w:t>4</w:t>
            </w:r>
            <w:r>
              <w:rPr>
                <w:rFonts w:hint="eastAsia" w:ascii="宋体" w:hAnsi="宋体" w:eastAsia="宋体" w:cs="宋体"/>
                <w:color w:val="auto"/>
                <w:kern w:val="2"/>
                <w:sz w:val="21"/>
                <w:szCs w:val="21"/>
                <w:vertAlign w:val="baseline"/>
                <w:lang w:val="en-US" w:eastAsia="zh-CN" w:bidi="ar-SA"/>
              </w:rPr>
              <w:t>次循环寿命试验后，</w:t>
            </w:r>
            <w:r>
              <w:rPr>
                <w:rFonts w:hint="default" w:ascii="宋体" w:hAnsi="宋体" w:eastAsia="宋体" w:cs="宋体"/>
                <w:color w:val="auto"/>
                <w:kern w:val="2"/>
                <w:sz w:val="21"/>
                <w:szCs w:val="21"/>
                <w:vertAlign w:val="baseline"/>
                <w:lang w:val="en-US" w:eastAsia="zh-CN" w:bidi="ar-SA"/>
              </w:rPr>
              <w:t>公称力Fa的总衰减量应不大于</w:t>
            </w:r>
            <w:r>
              <w:rPr>
                <w:rFonts w:hint="eastAsia" w:cs="宋体"/>
                <w:color w:val="auto"/>
                <w:kern w:val="2"/>
                <w:sz w:val="21"/>
                <w:szCs w:val="21"/>
                <w:vertAlign w:val="baseline"/>
                <w:lang w:val="en-US" w:eastAsia="zh-CN" w:bidi="ar-SA"/>
              </w:rPr>
              <w:t>13</w:t>
            </w:r>
            <w:r>
              <w:rPr>
                <w:rFonts w:hint="default" w:ascii="宋体" w:hAnsi="宋体" w:eastAsia="宋体" w:cs="宋体"/>
                <w:color w:val="auto"/>
                <w:kern w:val="2"/>
                <w:sz w:val="21"/>
                <w:szCs w:val="21"/>
                <w:vertAlign w:val="baseline"/>
                <w:lang w:val="en-US" w:eastAsia="zh-CN" w:bidi="ar-SA"/>
              </w:rPr>
              <w:t>%</w:t>
            </w:r>
            <w:r>
              <w:rPr>
                <w:rFonts w:hint="eastAsia" w:cs="宋体"/>
                <w:color w:val="auto"/>
                <w:kern w:val="2"/>
                <w:sz w:val="21"/>
                <w:szCs w:val="21"/>
                <w:vertAlign w:val="baseline"/>
                <w:lang w:val="en-US" w:eastAsia="zh-CN" w:bidi="ar-SA"/>
              </w:rPr>
              <w:t>，</w:t>
            </w:r>
            <w:r>
              <w:rPr>
                <w:rFonts w:hint="eastAsia" w:cs="宋体"/>
                <w:color w:val="000000"/>
                <w:sz w:val="21"/>
                <w:szCs w:val="21"/>
                <w:highlight w:val="none"/>
                <w:lang w:val="en-US" w:eastAsia="zh-CN"/>
              </w:rPr>
              <w:t>通过中性盐雾试验。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16</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水基型胶粘剂</w:t>
            </w:r>
          </w:p>
        </w:tc>
        <w:tc>
          <w:tcPr>
            <w:tcW w:w="8631" w:type="dxa"/>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检测依据：HJ2541-2016《环境标志产品技术要求胶粘剂》，GB33372-2020《胶粘剂挥发性有机化合物限量》；</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w:t>
            </w:r>
            <w:r>
              <w:rPr>
                <w:rFonts w:hint="default"/>
                <w:sz w:val="21"/>
                <w:szCs w:val="21"/>
                <w:vertAlign w:val="baseline"/>
                <w:lang w:val="en-US" w:eastAsia="zh-CN"/>
              </w:rPr>
              <w:t>游离甲醛≤0.0</w:t>
            </w:r>
            <w:r>
              <w:rPr>
                <w:rFonts w:hint="eastAsia"/>
                <w:sz w:val="21"/>
                <w:szCs w:val="21"/>
                <w:vertAlign w:val="baseline"/>
                <w:lang w:val="en-US" w:eastAsia="zh-CN"/>
              </w:rPr>
              <w:t>5</w:t>
            </w:r>
            <w:r>
              <w:rPr>
                <w:rFonts w:hint="default"/>
                <w:sz w:val="21"/>
                <w:szCs w:val="21"/>
                <w:vertAlign w:val="baseline"/>
                <w:lang w:val="en-US" w:eastAsia="zh-CN"/>
              </w:rPr>
              <w:t>g/kg，</w:t>
            </w:r>
            <w:r>
              <w:rPr>
                <w:rFonts w:hint="eastAsia"/>
                <w:sz w:val="21"/>
                <w:szCs w:val="21"/>
                <w:vertAlign w:val="baseline"/>
                <w:lang w:val="en-US" w:eastAsia="zh-CN"/>
              </w:rPr>
              <w:t>不得检出</w:t>
            </w:r>
            <w:r>
              <w:rPr>
                <w:rFonts w:hint="default"/>
                <w:sz w:val="21"/>
                <w:szCs w:val="21"/>
                <w:vertAlign w:val="baseline"/>
                <w:lang w:val="en-US" w:eastAsia="zh-CN"/>
              </w:rPr>
              <w:t>苯</w:t>
            </w:r>
            <w:r>
              <w:rPr>
                <w:rFonts w:hint="eastAsia"/>
                <w:sz w:val="21"/>
                <w:szCs w:val="21"/>
                <w:vertAlign w:val="baseline"/>
                <w:lang w:val="en-US" w:eastAsia="zh-CN"/>
              </w:rPr>
              <w:t>、</w:t>
            </w:r>
            <w:r>
              <w:rPr>
                <w:rFonts w:hint="default"/>
                <w:sz w:val="21"/>
                <w:szCs w:val="21"/>
                <w:vertAlign w:val="baseline"/>
                <w:lang w:val="en-US" w:eastAsia="zh-CN"/>
              </w:rPr>
              <w:t>甲苯+二甲苯</w:t>
            </w:r>
            <w:r>
              <w:rPr>
                <w:rFonts w:hint="eastAsia"/>
                <w:sz w:val="21"/>
                <w:szCs w:val="21"/>
                <w:vertAlign w:val="baseline"/>
                <w:lang w:val="en-US" w:eastAsia="zh-CN"/>
              </w:rPr>
              <w:t>、</w:t>
            </w:r>
            <w:r>
              <w:rPr>
                <w:rFonts w:hint="default"/>
                <w:sz w:val="21"/>
                <w:szCs w:val="21"/>
                <w:vertAlign w:val="baseline"/>
                <w:lang w:val="en-US" w:eastAsia="zh-CN"/>
              </w:rPr>
              <w:t>卤代烃，总挥发性有机物≤4</w:t>
            </w:r>
            <w:r>
              <w:rPr>
                <w:rFonts w:hint="eastAsia"/>
                <w:sz w:val="21"/>
                <w:szCs w:val="21"/>
                <w:vertAlign w:val="baseline"/>
                <w:lang w:val="en-US" w:eastAsia="zh-CN"/>
              </w:rPr>
              <w:t>0</w:t>
            </w:r>
            <w:r>
              <w:rPr>
                <w:rFonts w:hint="default"/>
                <w:sz w:val="21"/>
                <w:szCs w:val="21"/>
                <w:vertAlign w:val="baseline"/>
                <w:lang w:val="en-US" w:eastAsia="zh-CN"/>
              </w:rPr>
              <w:t>g/L</w:t>
            </w:r>
            <w:r>
              <w:rPr>
                <w:rFonts w:hint="eastAsia"/>
                <w:sz w:val="21"/>
                <w:szCs w:val="21"/>
                <w:vertAlign w:val="baseline"/>
                <w:lang w:val="en-US" w:eastAsia="zh-CN"/>
              </w:rPr>
              <w:t>，</w:t>
            </w:r>
            <w:r>
              <w:rPr>
                <w:rFonts w:hint="default"/>
                <w:sz w:val="21"/>
                <w:szCs w:val="21"/>
                <w:vertAlign w:val="baseline"/>
                <w:lang w:val="en-US" w:eastAsia="zh-CN"/>
              </w:rPr>
              <w:t>VOC含量≤</w:t>
            </w:r>
            <w:r>
              <w:rPr>
                <w:rFonts w:hint="eastAsia"/>
                <w:sz w:val="21"/>
                <w:szCs w:val="21"/>
                <w:vertAlign w:val="baseline"/>
                <w:lang w:val="en-US" w:eastAsia="zh-CN"/>
              </w:rPr>
              <w:t>50</w:t>
            </w:r>
            <w:r>
              <w:rPr>
                <w:rFonts w:hint="default"/>
                <w:sz w:val="21"/>
                <w:szCs w:val="21"/>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numPr>
                <w:ilvl w:val="0"/>
                <w:numId w:val="0"/>
              </w:numPr>
              <w:spacing w:line="240" w:lineRule="auto"/>
              <w:ind w:leftChars="0"/>
              <w:jc w:val="center"/>
              <w:rPr>
                <w:rFonts w:hint="default"/>
                <w:sz w:val="21"/>
                <w:szCs w:val="21"/>
                <w:vertAlign w:val="baseline"/>
                <w:lang w:val="en-US" w:eastAsia="zh-CN"/>
              </w:rPr>
            </w:pPr>
            <w:r>
              <w:rPr>
                <w:rFonts w:hint="eastAsia"/>
                <w:sz w:val="21"/>
                <w:szCs w:val="21"/>
                <w:vertAlign w:val="baseline"/>
                <w:lang w:val="en-US" w:eastAsia="zh-CN"/>
              </w:rPr>
              <w:t>17</w:t>
            </w:r>
          </w:p>
        </w:tc>
        <w:tc>
          <w:tcPr>
            <w:tcW w:w="1118" w:type="dxa"/>
            <w:vAlign w:val="center"/>
          </w:tcPr>
          <w:p>
            <w:pPr>
              <w:spacing w:line="240" w:lineRule="auto"/>
              <w:jc w:val="center"/>
              <w:rPr>
                <w:rFonts w:hint="default"/>
                <w:sz w:val="21"/>
                <w:szCs w:val="21"/>
                <w:vertAlign w:val="baseline"/>
                <w:lang w:val="en-US" w:eastAsia="zh-CN"/>
              </w:rPr>
            </w:pPr>
            <w:r>
              <w:rPr>
                <w:rFonts w:hint="default"/>
                <w:sz w:val="21"/>
                <w:szCs w:val="21"/>
                <w:vertAlign w:val="baseline"/>
                <w:lang w:val="en-US" w:eastAsia="zh-CN"/>
              </w:rPr>
              <w:t>热固性粉末涂料</w:t>
            </w:r>
          </w:p>
        </w:tc>
        <w:tc>
          <w:tcPr>
            <w:tcW w:w="8631" w:type="dxa"/>
            <w:vAlign w:val="center"/>
          </w:tcPr>
          <w:p>
            <w:pPr>
              <w:spacing w:line="360" w:lineRule="auto"/>
              <w:rPr>
                <w:rFonts w:hint="eastAsia"/>
                <w:sz w:val="21"/>
                <w:szCs w:val="21"/>
                <w:vertAlign w:val="baseline"/>
                <w:lang w:val="en-US" w:eastAsia="zh-CN"/>
              </w:rPr>
            </w:pPr>
            <w:r>
              <w:rPr>
                <w:rFonts w:hint="eastAsia"/>
                <w:sz w:val="21"/>
                <w:szCs w:val="21"/>
                <w:vertAlign w:val="baseline"/>
                <w:lang w:val="en-US" w:eastAsia="zh-CN"/>
              </w:rPr>
              <w:t>检测依据：GB18581-2020《木器中有害物质限量》，</w:t>
            </w:r>
          </w:p>
          <w:p>
            <w:pPr>
              <w:spacing w:line="360" w:lineRule="auto"/>
              <w:rPr>
                <w:rFonts w:hint="eastAsia"/>
                <w:sz w:val="21"/>
                <w:szCs w:val="21"/>
                <w:vertAlign w:val="baseline"/>
                <w:lang w:val="en-US" w:eastAsia="zh-CN"/>
              </w:rPr>
            </w:pPr>
            <w:r>
              <w:rPr>
                <w:rFonts w:hint="eastAsia"/>
                <w:sz w:val="21"/>
                <w:szCs w:val="21"/>
                <w:vertAlign w:val="baseline"/>
                <w:lang w:val="en-US" w:eastAsia="zh-CN"/>
              </w:rPr>
              <w:t>HG/T2006-2022《热固性和热塑性粉末涂料》；</w:t>
            </w:r>
          </w:p>
          <w:p>
            <w:pPr>
              <w:spacing w:line="360" w:lineRule="auto"/>
              <w:rPr>
                <w:rFonts w:hint="default"/>
                <w:sz w:val="21"/>
                <w:szCs w:val="21"/>
                <w:vertAlign w:val="baseline"/>
                <w:lang w:val="en-US" w:eastAsia="zh-CN"/>
              </w:rPr>
            </w:pPr>
            <w:r>
              <w:rPr>
                <w:rFonts w:hint="eastAsia"/>
                <w:sz w:val="21"/>
                <w:szCs w:val="21"/>
                <w:vertAlign w:val="baseline"/>
                <w:lang w:val="en-US" w:eastAsia="zh-CN"/>
              </w:rPr>
              <w:t>检测内容：总铅（Pb）含量（限色漆、腻子和醇酸清漆）≤90mg/kg，可溶性重金属含量（镉≤75mg/kg，铬≤60mg/kg，汞≤60mg/kg），耐酸性、耐碱性均无异常，耐冲击性（正向冲击）50cm符合检测要求。</w:t>
            </w:r>
          </w:p>
        </w:tc>
      </w:tr>
    </w:tbl>
    <w:p>
      <w:pPr>
        <w:widowControl/>
        <w:tabs>
          <w:tab w:val="center" w:pos="4363"/>
        </w:tabs>
        <w:spacing w:line="360" w:lineRule="auto"/>
        <w:ind w:firstLine="420" w:firstLineChars="200"/>
        <w:jc w:val="left"/>
        <w:rPr>
          <w:rFonts w:hint="eastAsia" w:asciiTheme="minorEastAsia" w:hAnsiTheme="minorEastAsia" w:eastAsiaTheme="minorEastAsia"/>
        </w:rPr>
      </w:pPr>
    </w:p>
    <w:p>
      <w:pPr>
        <w:widowControl/>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六、验收</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货物到达采购人指定地点</w:t>
      </w:r>
      <w:r>
        <w:rPr>
          <w:rFonts w:hint="eastAsia" w:asciiTheme="minorEastAsia" w:hAnsiTheme="minorEastAsia" w:eastAsiaTheme="minorEastAsia"/>
          <w:lang w:eastAsia="zh-CN"/>
        </w:rPr>
        <w:t>，安装调试完成后</w:t>
      </w:r>
      <w:r>
        <w:rPr>
          <w:rFonts w:hint="eastAsia" w:asciiTheme="minorEastAsia" w:hAnsiTheme="minorEastAsia" w:eastAsiaTheme="minorEastAsia"/>
        </w:rPr>
        <w:t>，</w:t>
      </w:r>
      <w:r>
        <w:rPr>
          <w:rFonts w:hint="eastAsia" w:asciiTheme="minorEastAsia" w:hAnsiTheme="minorEastAsia" w:eastAsiaTheme="minorEastAsia"/>
          <w:lang w:eastAsia="zh-CN"/>
        </w:rPr>
        <w:t>供应商与</w:t>
      </w:r>
      <w:r>
        <w:rPr>
          <w:rFonts w:hint="eastAsia" w:asciiTheme="minorEastAsia" w:hAnsiTheme="minorEastAsia" w:eastAsiaTheme="minorEastAsia"/>
        </w:rPr>
        <w:t>采购人共同对货物的数量、型号、外观标识、包装、总装配套之部件及附件、各种技术资料文件等进行清点、直观品质进行检查验收。</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采购人在供应商供货后对所供货物进行抽样，样品将送到法定的第三方检测机构进行检验，检验费用</w:t>
      </w:r>
      <w:r>
        <w:rPr>
          <w:rFonts w:hint="eastAsia" w:asciiTheme="minorEastAsia" w:hAnsiTheme="minorEastAsia" w:eastAsiaTheme="minorEastAsia"/>
          <w:lang w:eastAsia="zh-CN"/>
        </w:rPr>
        <w:t>由供应商承担</w:t>
      </w:r>
      <w:r>
        <w:rPr>
          <w:rFonts w:hint="eastAsia" w:asciiTheme="minorEastAsia" w:hAnsiTheme="minorEastAsia" w:eastAsiaTheme="minorEastAsia"/>
        </w:rPr>
        <w:t>。如果检测报告不及格或者检测的数据不满足采购文件要求的相关检测标准的要求，采购人将要求中标供应商对样品所属类别的全部家具进行更换，</w:t>
      </w:r>
      <w:r>
        <w:rPr>
          <w:rFonts w:hint="eastAsia" w:asciiTheme="minorEastAsia" w:hAnsiTheme="minorEastAsia" w:eastAsiaTheme="minorEastAsia"/>
          <w:lang w:eastAsia="zh-CN"/>
        </w:rPr>
        <w:t>如超出项目供货期的，正常收取违约金。</w:t>
      </w:r>
      <w:r>
        <w:rPr>
          <w:rFonts w:hint="eastAsia" w:asciiTheme="minorEastAsia" w:hAnsiTheme="minorEastAsia" w:eastAsiaTheme="minorEastAsia"/>
        </w:rPr>
        <w:t>如果更换后抽检(检测费用</w:t>
      </w:r>
      <w:r>
        <w:rPr>
          <w:rFonts w:hint="eastAsia" w:asciiTheme="minorEastAsia" w:hAnsiTheme="minorEastAsia" w:eastAsiaTheme="minorEastAsia"/>
          <w:lang w:eastAsia="zh-CN"/>
        </w:rPr>
        <w:t>由供应商承担</w:t>
      </w:r>
      <w:r>
        <w:rPr>
          <w:rFonts w:hint="eastAsia" w:asciiTheme="minorEastAsia" w:hAnsiTheme="minorEastAsia" w:eastAsiaTheme="minorEastAsia"/>
        </w:rPr>
        <w:t>)仍不及格的，采购人有权解除合同，</w:t>
      </w:r>
      <w:r>
        <w:rPr>
          <w:rFonts w:hint="eastAsia" w:asciiTheme="minorEastAsia" w:hAnsiTheme="minorEastAsia" w:eastAsiaTheme="minorEastAsia"/>
          <w:lang w:eastAsia="zh-CN"/>
        </w:rPr>
        <w:t>相关违约责任</w:t>
      </w:r>
      <w:r>
        <w:rPr>
          <w:rFonts w:hint="eastAsia" w:asciiTheme="minorEastAsia" w:hAnsiTheme="minorEastAsia" w:eastAsiaTheme="minorEastAsia"/>
        </w:rPr>
        <w:t>由供应商负责。</w:t>
      </w:r>
    </w:p>
    <w:p>
      <w:pPr>
        <w:widowControl/>
        <w:tabs>
          <w:tab w:val="center" w:pos="4363"/>
        </w:tabs>
        <w:spacing w:line="360" w:lineRule="auto"/>
        <w:ind w:firstLine="420" w:firstLineChars="200"/>
        <w:jc w:val="left"/>
        <w:rPr>
          <w:b/>
          <w:sz w:val="24"/>
        </w:rPr>
      </w:pPr>
      <w:r>
        <w:rPr>
          <w:rFonts w:hint="eastAsia" w:asciiTheme="minorEastAsia" w:hAnsiTheme="minorEastAsia" w:eastAsiaTheme="minorEastAsia"/>
          <w:lang w:val="en-US" w:eastAsia="zh-CN"/>
        </w:rPr>
        <w:t>3.</w:t>
      </w:r>
      <w:r>
        <w:rPr>
          <w:rFonts w:hint="eastAsia" w:asciiTheme="minorEastAsia" w:hAnsiTheme="minorEastAsia" w:eastAsiaTheme="minorEastAsia"/>
        </w:rPr>
        <w:t>如因质量问题发生争议，由双方共同委托项目所在地质量技术监督部门进行质量鉴定；如果该部门因受专业或技术等原因所限而不能办理的，则共同委托其他专门机构进行质量鉴定。货物符合质量标准的，鉴定费由采购人承担；不符合的，鉴定费由</w:t>
      </w:r>
      <w:r>
        <w:rPr>
          <w:rFonts w:hint="eastAsia" w:asciiTheme="minorEastAsia" w:hAnsiTheme="minorEastAsia" w:eastAsiaTheme="minorEastAsia"/>
          <w:lang w:eastAsia="zh-CN"/>
        </w:rPr>
        <w:t>供应商</w:t>
      </w:r>
      <w:r>
        <w:rPr>
          <w:rFonts w:hint="eastAsia" w:asciiTheme="minorEastAsia" w:hAnsiTheme="minorEastAsia" w:eastAsiaTheme="minorEastAsia"/>
        </w:rPr>
        <w:t>承担。</w:t>
      </w:r>
    </w:p>
    <w:p>
      <w:pPr>
        <w:widowControl/>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七、免费保修期及售后服务要求</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免费保修期不少于</w:t>
      </w:r>
      <w:r>
        <w:rPr>
          <w:rFonts w:hint="eastAsia" w:asciiTheme="minorEastAsia" w:hAnsiTheme="minorEastAsia" w:eastAsiaTheme="minorEastAsia"/>
          <w:highlight w:val="yellow"/>
          <w:lang w:eastAsia="zh-CN"/>
        </w:rPr>
        <w:t>五年</w:t>
      </w:r>
      <w:r>
        <w:rPr>
          <w:rFonts w:hint="eastAsia" w:asciiTheme="minorEastAsia" w:hAnsiTheme="minorEastAsia" w:eastAsiaTheme="minorEastAsia"/>
        </w:rPr>
        <w:t>，免费保修期满后终身有偿保修。免费保修期按采购人对货物及其质量技术全部验收合格并交付使用且签署《验收合格书》之日起计算。免费保修期满之日起，则进入有偿保修期。</w:t>
      </w:r>
    </w:p>
    <w:p>
      <w:pPr>
        <w:widowControl/>
        <w:tabs>
          <w:tab w:val="center" w:pos="4363"/>
        </w:tabs>
        <w:spacing w:line="360" w:lineRule="auto"/>
        <w:ind w:firstLine="42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无论</w:t>
      </w:r>
      <w:r>
        <w:rPr>
          <w:rFonts w:hint="eastAsia" w:asciiTheme="minorEastAsia" w:hAnsiTheme="minorEastAsia" w:eastAsiaTheme="minorEastAsia"/>
          <w:lang w:eastAsia="zh-CN"/>
        </w:rPr>
        <w:t>在</w:t>
      </w:r>
      <w:r>
        <w:rPr>
          <w:rFonts w:hint="eastAsia" w:asciiTheme="minorEastAsia" w:hAnsiTheme="minorEastAsia" w:eastAsiaTheme="minorEastAsia"/>
        </w:rPr>
        <w:t>免费保修期内还是有偿保修服务期内，如货物非因采购人的人为原因而出现质量问题，采购人有权向</w:t>
      </w:r>
      <w:r>
        <w:rPr>
          <w:rFonts w:hint="eastAsia" w:asciiTheme="minorEastAsia" w:hAnsiTheme="minorEastAsia" w:eastAsiaTheme="minorEastAsia"/>
          <w:lang w:eastAsia="zh-CN"/>
        </w:rPr>
        <w:t>供应商</w:t>
      </w:r>
      <w:r>
        <w:rPr>
          <w:rFonts w:hint="eastAsia" w:asciiTheme="minorEastAsia" w:hAnsiTheme="minorEastAsia" w:eastAsiaTheme="minorEastAsia"/>
        </w:rPr>
        <w:t>提出质量异议，</w:t>
      </w:r>
      <w:r>
        <w:rPr>
          <w:rFonts w:hint="eastAsia" w:asciiTheme="minorEastAsia" w:hAnsiTheme="minorEastAsia" w:eastAsiaTheme="minorEastAsia"/>
          <w:lang w:eastAsia="zh-CN"/>
        </w:rPr>
        <w:t>供应商</w:t>
      </w:r>
      <w:r>
        <w:rPr>
          <w:rFonts w:hint="eastAsia" w:asciiTheme="minorEastAsia" w:hAnsiTheme="minorEastAsia" w:eastAsiaTheme="minorEastAsia"/>
        </w:rPr>
        <w:t>应负责包修、包换或包退，承担修理、调换或退货的实际费用；如</w:t>
      </w:r>
      <w:r>
        <w:rPr>
          <w:rFonts w:hint="eastAsia" w:asciiTheme="minorEastAsia" w:hAnsiTheme="minorEastAsia" w:eastAsiaTheme="minorEastAsia"/>
          <w:lang w:eastAsia="zh-CN"/>
        </w:rPr>
        <w:t>供应商</w:t>
      </w:r>
      <w:r>
        <w:rPr>
          <w:rFonts w:hint="eastAsia" w:asciiTheme="minorEastAsia" w:hAnsiTheme="minorEastAsia" w:eastAsiaTheme="minorEastAsia"/>
        </w:rPr>
        <w:t>不能修复或不能退换，均按不能交货处理</w:t>
      </w:r>
      <w:r>
        <w:rPr>
          <w:rFonts w:hint="eastAsia" w:asciiTheme="minorEastAsia" w:hAnsiTheme="minorEastAsia" w:eastAsiaTheme="minorEastAsia"/>
          <w:lang w:eastAsia="zh-CN"/>
        </w:rPr>
        <w:t>。</w:t>
      </w:r>
    </w:p>
    <w:p>
      <w:pPr>
        <w:widowControl/>
        <w:tabs>
          <w:tab w:val="center" w:pos="4363"/>
        </w:tabs>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w:t>
      </w:r>
      <w:r>
        <w:rPr>
          <w:rFonts w:hint="eastAsia" w:asciiTheme="minorEastAsia" w:hAnsiTheme="minorEastAsia" w:eastAsiaTheme="minorEastAsia"/>
        </w:rPr>
        <w:t>免费保修期内</w:t>
      </w:r>
      <w:r>
        <w:rPr>
          <w:rFonts w:hint="eastAsia" w:asciiTheme="minorEastAsia" w:hAnsiTheme="minorEastAsia" w:eastAsiaTheme="minorEastAsia"/>
          <w:lang w:eastAsia="zh-CN"/>
        </w:rPr>
        <w:t>，供应商</w:t>
      </w:r>
      <w:r>
        <w:rPr>
          <w:rFonts w:hint="eastAsia" w:asciiTheme="minorEastAsia" w:hAnsiTheme="minorEastAsia" w:eastAsiaTheme="minorEastAsia"/>
        </w:rPr>
        <w:t>保证在接到故障电话后</w:t>
      </w:r>
      <w:r>
        <w:rPr>
          <w:rFonts w:hint="eastAsia" w:asciiTheme="minorEastAsia" w:hAnsiTheme="minorEastAsia" w:eastAsiaTheme="minorEastAsia"/>
          <w:lang w:val="en-US" w:eastAsia="zh-CN"/>
        </w:rPr>
        <w:t>2</w:t>
      </w:r>
      <w:r>
        <w:rPr>
          <w:rFonts w:hint="eastAsia" w:asciiTheme="minorEastAsia" w:hAnsiTheme="minorEastAsia" w:eastAsiaTheme="minorEastAsia"/>
        </w:rPr>
        <w:t>小时内响应用户要求、</w:t>
      </w:r>
      <w:r>
        <w:rPr>
          <w:rFonts w:hint="eastAsia" w:asciiTheme="minorEastAsia" w:hAnsiTheme="minorEastAsia" w:eastAsiaTheme="minorEastAsia"/>
          <w:lang w:val="en-US" w:eastAsia="zh-CN"/>
        </w:rPr>
        <w:t>12</w:t>
      </w:r>
      <w:r>
        <w:rPr>
          <w:rFonts w:hint="eastAsia" w:asciiTheme="minorEastAsia" w:hAnsiTheme="minorEastAsia" w:eastAsiaTheme="minorEastAsia"/>
        </w:rPr>
        <w:t>小时内派员上门现场维护并在</w:t>
      </w:r>
      <w:r>
        <w:rPr>
          <w:rFonts w:hint="eastAsia" w:asciiTheme="minorEastAsia" w:hAnsiTheme="minorEastAsia" w:eastAsiaTheme="minorEastAsia"/>
          <w:lang w:val="en-US" w:eastAsia="zh-CN"/>
        </w:rPr>
        <w:t>48</w:t>
      </w:r>
      <w:r>
        <w:rPr>
          <w:rFonts w:hint="eastAsia" w:asciiTheme="minorEastAsia" w:hAnsiTheme="minorEastAsia" w:eastAsiaTheme="minorEastAsia"/>
        </w:rPr>
        <w:t>小时内排除故障修复使用，如在规定时间内不能修复解决，则提供相同功能档次的货物予采购人作为代替使用，确保货物的正常运行和使用；属于免费保修期届满后的有偿保修服期内并且不属于</w:t>
      </w:r>
      <w:r>
        <w:rPr>
          <w:rFonts w:hint="eastAsia" w:asciiTheme="minorEastAsia" w:hAnsiTheme="minorEastAsia" w:eastAsiaTheme="minorEastAsia"/>
          <w:lang w:eastAsia="zh-CN"/>
        </w:rPr>
        <w:t>供应商</w:t>
      </w:r>
      <w:r>
        <w:rPr>
          <w:rFonts w:hint="eastAsia" w:asciiTheme="minorEastAsia" w:hAnsiTheme="minorEastAsia" w:eastAsiaTheme="minorEastAsia"/>
        </w:rPr>
        <w:t>所供货物质量问题的事项。</w:t>
      </w:r>
    </w:p>
    <w:p>
      <w:pPr>
        <w:widowControl/>
        <w:tabs>
          <w:tab w:val="center" w:pos="4363"/>
        </w:tabs>
        <w:spacing w:line="360" w:lineRule="auto"/>
        <w:ind w:firstLine="420" w:firstLineChars="200"/>
        <w:jc w:val="left"/>
        <w:rPr>
          <w:b/>
          <w:sz w:val="24"/>
        </w:rPr>
      </w:pPr>
      <w:r>
        <w:rPr>
          <w:rFonts w:hint="eastAsia" w:asciiTheme="minorEastAsia" w:hAnsiTheme="minorEastAsia" w:eastAsiaTheme="minorEastAsia"/>
          <w:lang w:val="en-US" w:eastAsia="zh-CN"/>
        </w:rPr>
        <w:t>4.</w:t>
      </w:r>
      <w:r>
        <w:rPr>
          <w:rFonts w:hint="eastAsia" w:asciiTheme="minorEastAsia" w:hAnsiTheme="minorEastAsia" w:eastAsiaTheme="minorEastAsia"/>
        </w:rPr>
        <w:t>货物生产前及生产期间，采购人有权对货物生产过程进行全程监造，对于无法提供有效进货证明及检验不合格的材料，采购人有权拒绝该材料投入生产，若该材料已投入生产，采购人有权不接受由该材料所生产的货物。</w:t>
      </w:r>
    </w:p>
    <w:p>
      <w:pPr>
        <w:widowControl/>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八、结算</w:t>
      </w:r>
    </w:p>
    <w:p>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w:t>
      </w:r>
      <w:r>
        <w:rPr>
          <w:rFonts w:hint="eastAsia" w:asciiTheme="minorEastAsia" w:hAnsiTheme="minorEastAsia" w:eastAsiaTheme="minorEastAsia"/>
          <w:lang w:eastAsia="zh-CN"/>
        </w:rPr>
        <w:t>供应商</w:t>
      </w:r>
      <w:r>
        <w:rPr>
          <w:rFonts w:hint="eastAsia" w:asciiTheme="minorEastAsia" w:hAnsiTheme="minorEastAsia" w:eastAsiaTheme="minorEastAsia"/>
        </w:rPr>
        <w:t>为中小企业，按中小企业相关法律法规或政策执行。</w:t>
      </w:r>
    </w:p>
    <w:p>
      <w:pPr>
        <w:pStyle w:val="24"/>
        <w:jc w:val="both"/>
        <w:rPr>
          <w:rFonts w:hint="eastAsia" w:eastAsiaTheme="minorEastAsia"/>
          <w:sz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right="21"/>
      <w:jc w:val="right"/>
      <w:rPr>
        <w:rFonts w:ascii="Times New Roman" w:hAnsi="Times New Roman" w:eastAsia="Times New Roman" w:cs="Times New Roman"/>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45DE"/>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2EC7EC0"/>
    <w:rsid w:val="03FB5939"/>
    <w:rsid w:val="06E7324F"/>
    <w:rsid w:val="09BA326E"/>
    <w:rsid w:val="0A485D51"/>
    <w:rsid w:val="0B7A7932"/>
    <w:rsid w:val="140D6D2F"/>
    <w:rsid w:val="179D5AC5"/>
    <w:rsid w:val="19F95A4C"/>
    <w:rsid w:val="235230BB"/>
    <w:rsid w:val="24B57FA4"/>
    <w:rsid w:val="255A421F"/>
    <w:rsid w:val="276F63E3"/>
    <w:rsid w:val="28EF5E90"/>
    <w:rsid w:val="291D7BB9"/>
    <w:rsid w:val="2DAC44E5"/>
    <w:rsid w:val="2DDF0C92"/>
    <w:rsid w:val="308E426C"/>
    <w:rsid w:val="33202FF1"/>
    <w:rsid w:val="333715F4"/>
    <w:rsid w:val="33787BD5"/>
    <w:rsid w:val="3547008D"/>
    <w:rsid w:val="37A7777C"/>
    <w:rsid w:val="381F7624"/>
    <w:rsid w:val="43CD6409"/>
    <w:rsid w:val="481279E3"/>
    <w:rsid w:val="49C914B7"/>
    <w:rsid w:val="4B4350A4"/>
    <w:rsid w:val="52EF1A85"/>
    <w:rsid w:val="53DA1A96"/>
    <w:rsid w:val="55E3291B"/>
    <w:rsid w:val="5C7727E9"/>
    <w:rsid w:val="61237F66"/>
    <w:rsid w:val="61960834"/>
    <w:rsid w:val="6B7F6325"/>
    <w:rsid w:val="6DAE6161"/>
    <w:rsid w:val="6F9F5C87"/>
    <w:rsid w:val="737D1B32"/>
    <w:rsid w:val="73A23CF3"/>
    <w:rsid w:val="74014D3F"/>
    <w:rsid w:val="75A83D22"/>
    <w:rsid w:val="762354FF"/>
    <w:rsid w:val="781D21D9"/>
    <w:rsid w:val="79805345"/>
    <w:rsid w:val="7CDB7A94"/>
    <w:rsid w:val="7D667C47"/>
    <w:rsid w:val="7DA948DF"/>
    <w:rsid w:val="7E0F04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6"/>
    <w:qFormat/>
    <w:uiPriority w:val="99"/>
    <w:pPr>
      <w:keepNext/>
      <w:keepLines/>
      <w:spacing w:before="260" w:after="260" w:line="416" w:lineRule="auto"/>
      <w:outlineLvl w:val="2"/>
    </w:pPr>
    <w:rPr>
      <w:b/>
      <w:bCs/>
      <w:sz w:val="32"/>
      <w:szCs w:val="32"/>
    </w:rPr>
  </w:style>
  <w:style w:type="paragraph" w:styleId="5">
    <w:name w:val="heading 4"/>
    <w:basedOn w:val="1"/>
    <w:next w:val="1"/>
    <w:link w:val="17"/>
    <w:qFormat/>
    <w:uiPriority w:val="99"/>
    <w:pPr>
      <w:keepNext/>
      <w:keepLines/>
      <w:spacing w:before="280" w:after="290" w:line="376" w:lineRule="auto"/>
      <w:outlineLvl w:val="3"/>
    </w:pPr>
    <w:rPr>
      <w:rFonts w:ascii="Cambria" w:hAnsi="Cambria"/>
      <w:b/>
      <w:bCs/>
      <w:sz w:val="28"/>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rFonts w:ascii="仿宋" w:hAnsi="仿宋" w:eastAsia="仿宋" w:cs="仿宋"/>
      <w:sz w:val="32"/>
      <w:szCs w:val="32"/>
      <w:lang w:val="en-US" w:eastAsia="en-US" w:bidi="ar-SA"/>
    </w:rPr>
  </w:style>
  <w:style w:type="paragraph" w:styleId="7">
    <w:name w:val="Date"/>
    <w:basedOn w:val="1"/>
    <w:next w:val="1"/>
    <w:link w:val="18"/>
    <w:semiHidden/>
    <w:qFormat/>
    <w:uiPriority w:val="99"/>
    <w:pPr>
      <w:ind w:left="100" w:leftChars="2500"/>
    </w:p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szCs w:val="24"/>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标题 1 字符"/>
    <w:link w:val="2"/>
    <w:qFormat/>
    <w:locked/>
    <w:uiPriority w:val="99"/>
    <w:rPr>
      <w:rFonts w:cs="Times New Roman"/>
      <w:b/>
      <w:bCs/>
      <w:kern w:val="44"/>
      <w:sz w:val="44"/>
      <w:szCs w:val="44"/>
    </w:rPr>
  </w:style>
  <w:style w:type="character" w:customStyle="1" w:styleId="15">
    <w:name w:val="标题 2 字符"/>
    <w:link w:val="3"/>
    <w:qFormat/>
    <w:locked/>
    <w:uiPriority w:val="99"/>
    <w:rPr>
      <w:rFonts w:ascii="Cambria" w:hAnsi="Cambria" w:eastAsia="宋体" w:cs="Times New Roman"/>
      <w:b/>
      <w:bCs/>
      <w:sz w:val="32"/>
      <w:szCs w:val="32"/>
    </w:rPr>
  </w:style>
  <w:style w:type="character" w:customStyle="1" w:styleId="16">
    <w:name w:val="标题 3 字符"/>
    <w:link w:val="4"/>
    <w:qFormat/>
    <w:locked/>
    <w:uiPriority w:val="99"/>
    <w:rPr>
      <w:rFonts w:cs="Times New Roman"/>
      <w:b/>
      <w:bCs/>
      <w:sz w:val="32"/>
      <w:szCs w:val="32"/>
    </w:rPr>
  </w:style>
  <w:style w:type="character" w:customStyle="1" w:styleId="17">
    <w:name w:val="标题 4 字符"/>
    <w:link w:val="5"/>
    <w:qFormat/>
    <w:locked/>
    <w:uiPriority w:val="99"/>
    <w:rPr>
      <w:rFonts w:ascii="Cambria" w:hAnsi="Cambria" w:eastAsia="宋体" w:cs="Times New Roman"/>
      <w:b/>
      <w:bCs/>
      <w:sz w:val="28"/>
      <w:szCs w:val="28"/>
    </w:rPr>
  </w:style>
  <w:style w:type="character" w:customStyle="1" w:styleId="18">
    <w:name w:val="日期 字符"/>
    <w:link w:val="7"/>
    <w:semiHidden/>
    <w:qFormat/>
    <w:locked/>
    <w:uiPriority w:val="99"/>
    <w:rPr>
      <w:rFonts w:cs="Times New Roman"/>
    </w:rPr>
  </w:style>
  <w:style w:type="character" w:customStyle="1" w:styleId="19">
    <w:name w:val="页脚 字符"/>
    <w:link w:val="8"/>
    <w:qFormat/>
    <w:locked/>
    <w:uiPriority w:val="99"/>
    <w:rPr>
      <w:rFonts w:cs="Times New Roman"/>
      <w:sz w:val="18"/>
      <w:szCs w:val="18"/>
    </w:rPr>
  </w:style>
  <w:style w:type="character" w:customStyle="1" w:styleId="20">
    <w:name w:val="页眉 字符"/>
    <w:link w:val="9"/>
    <w:semiHidden/>
    <w:qFormat/>
    <w:locked/>
    <w:uiPriority w:val="99"/>
    <w:rPr>
      <w:rFonts w:cs="Times New Roman"/>
      <w:sz w:val="18"/>
      <w:szCs w:val="18"/>
    </w:rPr>
  </w:style>
  <w:style w:type="paragraph" w:customStyle="1" w:styleId="21">
    <w:name w:val="List Paragraph"/>
    <w:basedOn w:val="1"/>
    <w:qFormat/>
    <w:uiPriority w:val="34"/>
    <w:pPr>
      <w:ind w:firstLine="420" w:firstLineChars="200"/>
    </w:pPr>
  </w:style>
  <w:style w:type="character" w:customStyle="1" w:styleId="22">
    <w:name w:val="font41"/>
    <w:basedOn w:val="13"/>
    <w:qFormat/>
    <w:uiPriority w:val="0"/>
    <w:rPr>
      <w:rFonts w:ascii="Calibri" w:hAnsi="Calibri" w:cs="Calibri"/>
      <w:color w:val="000000"/>
      <w:sz w:val="21"/>
      <w:szCs w:val="21"/>
      <w:u w:val="none"/>
    </w:rPr>
  </w:style>
  <w:style w:type="character" w:customStyle="1" w:styleId="23">
    <w:name w:val="font31"/>
    <w:basedOn w:val="13"/>
    <w:qFormat/>
    <w:uiPriority w:val="0"/>
    <w:rPr>
      <w:rFonts w:hint="eastAsia" w:ascii="宋体" w:hAnsi="宋体" w:eastAsia="宋体" w:cs="宋体"/>
      <w:color w:val="000000"/>
      <w:sz w:val="20"/>
      <w:szCs w:val="20"/>
      <w:u w:val="none"/>
    </w:rPr>
  </w:style>
  <w:style w:type="paragraph" w:customStyle="1" w:styleId="24">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2428</Words>
  <Characters>2442</Characters>
  <Lines>15</Lines>
  <Paragraphs>4</Paragraphs>
  <TotalTime>6</TotalTime>
  <ScaleCrop>false</ScaleCrop>
  <LinksUpToDate>false</LinksUpToDate>
  <CharactersWithSpaces>2447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2025-09-15T02:25:38Z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y fmtid="{D5CDD505-2E9C-101B-9397-08002B2CF9AE}" pid="4" name="KSOTemplateDocerSaveRecord">
    <vt:lpwstr>eyJoZGlkIjoiZDEyMGM5NzUwMDA2ZGEwMTAyZTQxYmZhNTY1NzI3MWUiLCJ1c2VySWQiOiI5NjQwMzI1NDAifQ==</vt:lpwstr>
  </property>
</Properties>
</file>