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32"/>
          <w:szCs w:val="32"/>
        </w:rPr>
      </w:pPr>
      <w:r>
        <w:rPr>
          <w:rFonts w:hint="eastAsia"/>
          <w:b/>
          <w:sz w:val="32"/>
          <w:szCs w:val="32"/>
        </w:rPr>
        <w:t>项目采购需求</w:t>
      </w:r>
    </w:p>
    <w:p>
      <w:pPr>
        <w:widowControl/>
        <w:jc w:val="left"/>
        <w:rPr>
          <w:sz w:val="24"/>
        </w:rPr>
      </w:pPr>
      <w:r>
        <w:rPr>
          <w:rFonts w:hint="eastAsia"/>
          <w:b/>
          <w:sz w:val="24"/>
        </w:rPr>
        <w:t>一、项目基本情况</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、项目名称：中山市中医院</w:t>
      </w:r>
      <w:r>
        <w:rPr>
          <w:rFonts w:hint="eastAsia" w:asciiTheme="minorEastAsia" w:hAnsiTheme="minorEastAsia" w:eastAsiaTheme="minorEastAsia"/>
          <w:lang w:val="en-US" w:eastAsia="zh-CN"/>
        </w:rPr>
        <w:t>AI</w:t>
      </w:r>
      <w:r>
        <w:rPr>
          <w:rFonts w:hint="eastAsia" w:asciiTheme="minorEastAsia" w:hAnsiTheme="minorEastAsia" w:eastAsiaTheme="minorEastAsia"/>
          <w:lang w:eastAsia="zh-CN"/>
        </w:rPr>
        <w:t>服务器</w:t>
      </w:r>
      <w:r>
        <w:rPr>
          <w:rFonts w:hint="eastAsia" w:asciiTheme="minorEastAsia" w:hAnsiTheme="minorEastAsia" w:eastAsiaTheme="minorEastAsia"/>
        </w:rPr>
        <w:t>采购项目</w:t>
      </w:r>
    </w:p>
    <w:p>
      <w:pPr>
        <w:spacing w:line="360" w:lineRule="auto"/>
        <w:ind w:firstLine="420" w:firstLineChars="200"/>
        <w:rPr>
          <w:rFonts w:hint="eastAsia"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、项目内容：</w:t>
      </w:r>
      <w:r>
        <w:rPr>
          <w:rFonts w:hint="eastAsia" w:asciiTheme="minorEastAsia" w:hAnsiTheme="minorEastAsia" w:eastAsiaTheme="minorEastAsia"/>
          <w:lang w:eastAsia="zh-CN"/>
        </w:rPr>
        <w:t>医院拟采购一台</w:t>
      </w:r>
      <w:r>
        <w:rPr>
          <w:rFonts w:hint="eastAsia" w:asciiTheme="minorEastAsia" w:hAnsiTheme="minorEastAsia" w:eastAsiaTheme="minorEastAsia"/>
          <w:lang w:val="en-US" w:eastAsia="zh-CN"/>
        </w:rPr>
        <w:t>AI服务器，建设</w:t>
      </w:r>
      <w:r>
        <w:rPr>
          <w:rFonts w:hint="eastAsia" w:asciiTheme="minorEastAsia" w:hAnsiTheme="minorEastAsia" w:eastAsiaTheme="minorEastAsia"/>
        </w:rPr>
        <w:t>医联体远程处方</w:t>
      </w:r>
      <w:r>
        <w:rPr>
          <w:rFonts w:hint="eastAsia" w:asciiTheme="minorEastAsia" w:hAnsiTheme="minorEastAsia" w:eastAsiaTheme="minorEastAsia"/>
          <w:lang w:eastAsia="zh-CN"/>
        </w:rPr>
        <w:t>前置审核中心质控一体化平台，</w:t>
      </w:r>
      <w:r>
        <w:rPr>
          <w:rFonts w:hint="eastAsia" w:asciiTheme="minorEastAsia" w:hAnsiTheme="minorEastAsia" w:eastAsiaTheme="minorEastAsia"/>
          <w:lang w:val="en-US" w:eastAsia="zh-CN"/>
        </w:rPr>
        <w:t>通过在医院</w:t>
      </w:r>
      <w:r>
        <w:rPr>
          <w:rFonts w:hint="eastAsia" w:asciiTheme="minorEastAsia" w:hAnsiTheme="minorEastAsia" w:eastAsiaTheme="minorEastAsia"/>
        </w:rPr>
        <w:t>建设合理用药系统，完善药品规则知识库成熟度，实现院内用</w:t>
      </w:r>
      <w:r>
        <w:rPr>
          <w:rFonts w:hint="eastAsia" w:asciiTheme="minorEastAsia" w:hAnsiTheme="minorEastAsia" w:eastAsiaTheme="minorEastAsia"/>
          <w:lang w:eastAsia="zh-CN"/>
        </w:rPr>
        <w:t>药</w:t>
      </w:r>
      <w:r>
        <w:rPr>
          <w:rFonts w:hint="eastAsia" w:asciiTheme="minorEastAsia" w:hAnsiTheme="minorEastAsia" w:eastAsiaTheme="minorEastAsia"/>
        </w:rPr>
        <w:t>的合理率显著提升，然后通过远程网络技术、构建智能化医联体远程处方审核平台中心，打造区域性药品规则知识库，实现药学服务同质化，</w:t>
      </w:r>
      <w:r>
        <w:rPr>
          <w:rFonts w:hint="eastAsia" w:asciiTheme="minorEastAsia" w:hAnsiTheme="minorEastAsia" w:eastAsiaTheme="minorEastAsia"/>
          <w:lang w:eastAsia="zh-CN"/>
        </w:rPr>
        <w:t>解决</w:t>
      </w:r>
      <w:r>
        <w:rPr>
          <w:rFonts w:hint="eastAsia" w:asciiTheme="minorEastAsia" w:hAnsiTheme="minorEastAsia" w:eastAsiaTheme="minorEastAsia"/>
        </w:rPr>
        <w:t>当前医联体镇级医院药学服务薄弱</w:t>
      </w:r>
      <w:r>
        <w:rPr>
          <w:rFonts w:hint="eastAsia" w:asciiTheme="minorEastAsia" w:hAnsiTheme="minorEastAsia" w:eastAsiaTheme="minorEastAsia"/>
          <w:lang w:eastAsia="zh-CN"/>
        </w:rPr>
        <w:t>问题</w:t>
      </w:r>
      <w:r>
        <w:rPr>
          <w:rFonts w:hint="eastAsia" w:asciiTheme="minorEastAsia" w:hAnsiTheme="minorEastAsia" w:eastAsiaTheme="minorEastAsia"/>
        </w:rPr>
        <w:t>，提升镇级医院合理用药水平</w:t>
      </w:r>
      <w:r>
        <w:rPr>
          <w:rFonts w:hint="eastAsia" w:asciiTheme="minorEastAsia" w:hAnsiTheme="minorEastAsia" w:eastAsiaTheme="minorEastAsia"/>
          <w:lang w:eastAsia="zh-CN"/>
        </w:rPr>
        <w:t>，</w:t>
      </w:r>
      <w:r>
        <w:rPr>
          <w:rFonts w:hint="eastAsia" w:asciiTheme="minorEastAsia" w:hAnsiTheme="minorEastAsia" w:eastAsiaTheme="minorEastAsia"/>
        </w:rPr>
        <w:t>为患者提供安全、高效、便捷的药学服务。</w:t>
      </w:r>
    </w:p>
    <w:p>
      <w:pPr>
        <w:widowControl/>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、项目上限价：￥</w:t>
      </w:r>
      <w:r>
        <w:rPr>
          <w:rFonts w:hint="eastAsia" w:asciiTheme="minorEastAsia" w:hAnsiTheme="minorEastAsia" w:eastAsiaTheme="minorEastAsia"/>
          <w:lang w:val="en-US" w:eastAsia="zh-CN"/>
        </w:rPr>
        <w:t>400000</w:t>
      </w:r>
      <w:r>
        <w:rPr>
          <w:rFonts w:hint="eastAsia" w:asciiTheme="minorEastAsia" w:hAnsiTheme="minorEastAsia" w:eastAsiaTheme="minorEastAsia"/>
        </w:rPr>
        <w:t>元，超过采购上限价的属于无效响应。</w:t>
      </w:r>
    </w:p>
    <w:p>
      <w:pPr>
        <w:widowControl/>
        <w:tabs>
          <w:tab w:val="center" w:pos="4363"/>
        </w:tabs>
        <w:spacing w:line="360" w:lineRule="auto"/>
        <w:ind w:firstLine="420" w:firstLineChars="200"/>
        <w:jc w:val="left"/>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hint="eastAsia" w:cs="宋体" w:asciiTheme="minorEastAsia" w:hAnsiTheme="minorEastAsia" w:eastAsiaTheme="minorEastAsia"/>
          <w:szCs w:val="21"/>
          <w:lang w:val="en-US" w:eastAsia="zh-CN"/>
        </w:rPr>
        <w:t>30</w:t>
      </w:r>
      <w:r>
        <w:rPr>
          <w:rFonts w:hint="eastAsia" w:cs="宋体" w:asciiTheme="minorEastAsia" w:hAnsiTheme="minorEastAsia" w:eastAsiaTheme="minorEastAsia"/>
          <w:szCs w:val="21"/>
        </w:rPr>
        <w:t>天</w:t>
      </w:r>
    </w:p>
    <w:p>
      <w:pPr>
        <w:widowControl/>
        <w:spacing w:line="360" w:lineRule="auto"/>
        <w:ind w:firstLine="420" w:firstLineChars="200"/>
        <w:jc w:val="left"/>
        <w:rPr>
          <w:rFonts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w:t>
      </w:r>
      <w:r>
        <w:rPr>
          <w:rFonts w:hint="eastAsia" w:cs="宋体" w:asciiTheme="minorEastAsia" w:hAnsiTheme="minorEastAsia" w:eastAsiaTheme="minorEastAsia"/>
          <w:bCs/>
          <w:szCs w:val="21"/>
        </w:rPr>
        <w:t>应包括硬件采购、安装调试、验收、培训、售后服务、各种税费及合同实施过程中的不可预见费用等。</w:t>
      </w:r>
    </w:p>
    <w:p>
      <w:pPr>
        <w:spacing w:line="360" w:lineRule="auto"/>
        <w:rPr>
          <w:b/>
          <w:sz w:val="24"/>
        </w:rPr>
      </w:pPr>
      <w:r>
        <w:rPr>
          <w:rFonts w:hint="eastAsia"/>
          <w:b/>
          <w:sz w:val="24"/>
        </w:rPr>
        <w:t>二、</w:t>
      </w:r>
      <w:r>
        <w:rPr>
          <w:rFonts w:hint="eastAsia"/>
          <w:b/>
          <w:sz w:val="24"/>
          <w:lang w:eastAsia="zh-CN"/>
        </w:rPr>
        <w:t>设备技术参数</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1、服务器外型：机架式 4U；</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2、CPU：配置≥2颗Intel Xeon CPU，单颗CPU 32C ；主频不低于2.1G，缓存不低于160MB；</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3、内存：配置≥512GB DDR5 5600MHz ECC RDIMM内存，支持≥32个内存插槽，最大可支持4TB内存容量，支持内存ECC保护、内存镜像、内存热备；</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4、硬盘：≥1.92T NVME*2 + 1.92T SSD*4；</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5、阵列控制器：≥1张4G缓存阵列卡，支持RAID0/1/5；</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6、存储-硬盘槽位：24盘：16SATA/SAS+8NVME/SAS/SATA；12盘：</w:t>
      </w:r>
      <w:bookmarkStart w:id="0" w:name="_GoBack"/>
      <w:bookmarkEnd w:id="0"/>
      <w:r>
        <w:rPr>
          <w:rFonts w:hint="eastAsia" w:asciiTheme="minorEastAsia" w:hAnsiTheme="minorEastAsia" w:eastAsiaTheme="minorEastAsia"/>
          <w:lang w:val="en-US" w:eastAsia="zh-CN"/>
        </w:rPr>
        <w:t>4SATA/SAS+8NVME/SAS/SATA；（提供相关证明文件或官网截图）</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7、GPU实配数量：配置≥ 6张非消费级显卡，单卡显存不低于 48G，FP16算力≥119 TFLOPS，FP32 算力≥59.5 TFLOPS，TF32算力≥59.3 TFLOPS，支持 CUDA 架构；</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8、GPU支持能力：支持≥8个双宽PCIe GPU卡，最大可以支持10个双宽GPU；支持≥16个单宽PCIe GPU卡，最大可以支持20个单宽GPU；CPU和GPU挂载比可支持1:4、1:8、直通等多种拓扑配置；（提供相关证明文件或官网截图）</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9、网卡：提供≥1个网卡专用插槽（不占用PCIE扩展槽），可选配千兆或万兆网卡≥2*4口千兆网卡，≥1*双端口万兆网卡（含模块）；</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10、冗余风扇：支持8个8056风扇，N+1热插拔冗余风扇；</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11、冗余电源：≥4*2700w白金版热插拔冗余电源；</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12、安全选项：可配置机箱入侵侦测，支持Intel PFR3.0和SGX2.0安全技术；（提供相关证明文件或官网截图）</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13、设备安装套件：含服务器导轨，理线架；</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14、售后服务：</w:t>
      </w:r>
    </w:p>
    <w:p>
      <w:pPr>
        <w:spacing w:line="360" w:lineRule="auto"/>
        <w:rPr>
          <w:b/>
          <w:sz w:val="24"/>
        </w:rPr>
      </w:pPr>
    </w:p>
    <w:p>
      <w:pPr>
        <w:spacing w:line="360" w:lineRule="auto"/>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质量要求</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1、供应商提供的货物质量必须符合国家相关标准、行业标准及项目要求。</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2、供应商提供的货物为厂家原装正品、全新产品，无侵权行为、表面无划损、无任何缺陷隐患，在中国境内可安全合法使用。</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4、供应商对由于设计工艺或材料的缺陷所发生的任何故障负责，所需费用由供应商承担。</w:t>
      </w:r>
    </w:p>
    <w:p>
      <w:pPr>
        <w:widowControl/>
        <w:spacing w:line="360" w:lineRule="auto"/>
        <w:jc w:val="left"/>
        <w:rPr>
          <w:b/>
          <w:sz w:val="24"/>
        </w:rPr>
      </w:pPr>
    </w:p>
    <w:p>
      <w:pPr>
        <w:widowControl/>
        <w:spacing w:line="360" w:lineRule="auto"/>
        <w:ind w:left="2048" w:hanging="2048"/>
        <w:jc w:val="left"/>
        <w:rPr>
          <w:b/>
          <w:sz w:val="24"/>
        </w:rPr>
      </w:pPr>
      <w:r>
        <w:rPr>
          <w:rFonts w:hint="eastAsia"/>
          <w:b/>
          <w:sz w:val="24"/>
        </w:rPr>
        <w:t>四、服务要求</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lang w:eastAsia="zh-CN"/>
        </w:rPr>
        <w:t>质保期：</w:t>
      </w:r>
      <w:r>
        <w:rPr>
          <w:rFonts w:hint="eastAsia" w:asciiTheme="minorEastAsia" w:hAnsiTheme="minorEastAsia" w:eastAsiaTheme="minorEastAsia"/>
          <w:lang w:val="en-US" w:eastAsia="zh-CN"/>
        </w:rPr>
        <w:t>不少于3年的原厂整机免费上门质保服务</w:t>
      </w:r>
      <w:r>
        <w:rPr>
          <w:rFonts w:hint="eastAsia" w:asciiTheme="minorEastAsia" w:hAnsiTheme="minorEastAsia" w:eastAsiaTheme="minorEastAsia"/>
        </w:rPr>
        <w:t>，若国家或生产厂家对本项目所涉及货物质量保证期的规定高于本项目的要求，应按国家或生产厂家的规定执行。</w:t>
      </w:r>
      <w:r>
        <w:rPr>
          <w:rFonts w:hint="eastAsia" w:asciiTheme="minorEastAsia" w:hAnsiTheme="minorEastAsia" w:eastAsiaTheme="minorEastAsia"/>
          <w:lang w:val="en-US" w:eastAsia="zh-CN"/>
        </w:rPr>
        <w:t>（提供原厂授权函，原厂服务承诺函原件并加盖生产厂商公章）</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2、质保期内供应商提供“包退、包换、包修”的质量“三包”服务，一切维修费用、备品备件费用均由供应商免费提供。</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售后服务响应时间：供应商应提供7*24小时的现场支援、技术咨询和故障受理服务，在质保期内，供应商响应时间为30分钟内，到达现场时间为4小时内，并需在12小时内解决故障；如果不能解决故障，则需提供相同规格的产品作为代用品。</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4、供应商需上门进行安装及技术支持，以现场服务为主，其它电话指导、邮件指导、远程维护、技术交流等服务方式不限。</w:t>
      </w:r>
    </w:p>
    <w:p>
      <w:pPr>
        <w:widowControl/>
        <w:spacing w:line="360" w:lineRule="auto"/>
        <w:jc w:val="left"/>
        <w:rPr>
          <w:b/>
          <w:sz w:val="24"/>
        </w:rPr>
      </w:pPr>
    </w:p>
    <w:p>
      <w:pPr>
        <w:widowControl/>
        <w:spacing w:line="384" w:lineRule="auto"/>
        <w:jc w:val="left"/>
        <w:rPr>
          <w:sz w:val="24"/>
        </w:rPr>
      </w:pPr>
      <w:r>
        <w:rPr>
          <w:rFonts w:hint="eastAsia"/>
          <w:b/>
          <w:sz w:val="24"/>
        </w:rPr>
        <w:t>五、验收与结算</w:t>
      </w:r>
    </w:p>
    <w:p>
      <w:pPr>
        <w:spacing w:line="360" w:lineRule="auto"/>
        <w:rPr>
          <w:rFonts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3、供应商须提供免费的培训服务，直接采购人熟悉设备操作及日常保养为止。</w:t>
      </w:r>
    </w:p>
    <w:p>
      <w:pPr>
        <w:spacing w:line="360" w:lineRule="auto"/>
        <w:rPr>
          <w:rFonts w:asciiTheme="minorEastAsia" w:hAnsiTheme="minorEastAsia" w:eastAsiaTheme="minorEastAsia"/>
        </w:rPr>
      </w:pPr>
      <w:r>
        <w:rPr>
          <w:rFonts w:hint="eastAsia" w:asciiTheme="minorEastAsia" w:hAnsiTheme="minorEastAsia" w:eastAsiaTheme="minorEastAsia"/>
        </w:rPr>
        <w:t>4、项目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合同款项；如中标人为中小企业，按中小企业相关法律法规或政策执行。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IzODU0MjAwOWUxMThhZjYxMGI0NTJhNTUzOGIwOTI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B613F"/>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0AC6"/>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43AF6"/>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0B3"/>
    <w:rsid w:val="007515AD"/>
    <w:rsid w:val="0075628B"/>
    <w:rsid w:val="00761A5E"/>
    <w:rsid w:val="00774CF0"/>
    <w:rsid w:val="00783D5E"/>
    <w:rsid w:val="00786F4C"/>
    <w:rsid w:val="00790422"/>
    <w:rsid w:val="00797CEC"/>
    <w:rsid w:val="007A07C9"/>
    <w:rsid w:val="007A1306"/>
    <w:rsid w:val="007A1A44"/>
    <w:rsid w:val="007A4C9C"/>
    <w:rsid w:val="007B06EB"/>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7B03"/>
    <w:rsid w:val="00A51097"/>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CF69E7"/>
    <w:rsid w:val="00D11AB9"/>
    <w:rsid w:val="00D12C88"/>
    <w:rsid w:val="00D1617B"/>
    <w:rsid w:val="00D30629"/>
    <w:rsid w:val="00D44C81"/>
    <w:rsid w:val="00D45387"/>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D7B94"/>
    <w:rsid w:val="00FE395D"/>
    <w:rsid w:val="00FE3AC0"/>
    <w:rsid w:val="00FE4547"/>
    <w:rsid w:val="00FF21C2"/>
    <w:rsid w:val="00FF5903"/>
    <w:rsid w:val="00FF638B"/>
    <w:rsid w:val="0F7D2220"/>
    <w:rsid w:val="164232BD"/>
    <w:rsid w:val="2A25071C"/>
    <w:rsid w:val="2F7E6703"/>
    <w:rsid w:val="308E426C"/>
    <w:rsid w:val="32913BDC"/>
    <w:rsid w:val="33202FF1"/>
    <w:rsid w:val="352A1BD2"/>
    <w:rsid w:val="3547008D"/>
    <w:rsid w:val="381F7624"/>
    <w:rsid w:val="464618F1"/>
    <w:rsid w:val="5C7727E9"/>
    <w:rsid w:val="61960834"/>
    <w:rsid w:val="6B272068"/>
    <w:rsid w:val="6B951EA7"/>
    <w:rsid w:val="73A23CF3"/>
    <w:rsid w:val="74014D3F"/>
    <w:rsid w:val="798053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5"/>
    <w:qFormat/>
    <w:uiPriority w:val="99"/>
    <w:pPr>
      <w:keepNext/>
      <w:keepLines/>
      <w:spacing w:before="260" w:after="260" w:line="416" w:lineRule="auto"/>
      <w:outlineLvl w:val="2"/>
    </w:pPr>
    <w:rPr>
      <w:b/>
      <w:bCs/>
      <w:sz w:val="32"/>
      <w:szCs w:val="32"/>
    </w:rPr>
  </w:style>
  <w:style w:type="paragraph" w:styleId="5">
    <w:name w:val="heading 4"/>
    <w:basedOn w:val="1"/>
    <w:next w:val="1"/>
    <w:link w:val="16"/>
    <w:qFormat/>
    <w:uiPriority w:val="99"/>
    <w:pPr>
      <w:keepNext/>
      <w:keepLines/>
      <w:spacing w:before="280" w:after="290" w:line="376" w:lineRule="auto"/>
      <w:outlineLvl w:val="3"/>
    </w:pPr>
    <w:rPr>
      <w:rFonts w:ascii="Cambria" w:hAnsi="Cambria"/>
      <w:b/>
      <w:bCs/>
      <w:sz w:val="28"/>
      <w:szCs w:val="28"/>
    </w:rPr>
  </w:style>
  <w:style w:type="character" w:default="1" w:styleId="12">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6">
    <w:name w:val="Date"/>
    <w:basedOn w:val="1"/>
    <w:next w:val="1"/>
    <w:link w:val="17"/>
    <w:semiHidden/>
    <w:qFormat/>
    <w:uiPriority w:val="99"/>
    <w:pPr>
      <w:ind w:left="100" w:leftChars="2500"/>
    </w:p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szCs w:val="24"/>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标题 1 字符"/>
    <w:link w:val="2"/>
    <w:qFormat/>
    <w:locked/>
    <w:uiPriority w:val="99"/>
    <w:rPr>
      <w:rFonts w:cs="Times New Roman"/>
      <w:b/>
      <w:bCs/>
      <w:kern w:val="44"/>
      <w:sz w:val="44"/>
      <w:szCs w:val="44"/>
    </w:rPr>
  </w:style>
  <w:style w:type="character" w:customStyle="1" w:styleId="14">
    <w:name w:val="标题 2 字符"/>
    <w:link w:val="3"/>
    <w:qFormat/>
    <w:locked/>
    <w:uiPriority w:val="99"/>
    <w:rPr>
      <w:rFonts w:ascii="Cambria" w:hAnsi="Cambria" w:eastAsia="宋体" w:cs="Times New Roman"/>
      <w:b/>
      <w:bCs/>
      <w:sz w:val="32"/>
      <w:szCs w:val="32"/>
    </w:rPr>
  </w:style>
  <w:style w:type="character" w:customStyle="1" w:styleId="15">
    <w:name w:val="标题 3 字符"/>
    <w:link w:val="4"/>
    <w:qFormat/>
    <w:locked/>
    <w:uiPriority w:val="99"/>
    <w:rPr>
      <w:rFonts w:cs="Times New Roman"/>
      <w:b/>
      <w:bCs/>
      <w:sz w:val="32"/>
      <w:szCs w:val="32"/>
    </w:rPr>
  </w:style>
  <w:style w:type="character" w:customStyle="1" w:styleId="16">
    <w:name w:val="标题 4 字符"/>
    <w:link w:val="5"/>
    <w:qFormat/>
    <w:locked/>
    <w:uiPriority w:val="99"/>
    <w:rPr>
      <w:rFonts w:ascii="Cambria" w:hAnsi="Cambria" w:eastAsia="宋体" w:cs="Times New Roman"/>
      <w:b/>
      <w:bCs/>
      <w:sz w:val="28"/>
      <w:szCs w:val="28"/>
    </w:rPr>
  </w:style>
  <w:style w:type="character" w:customStyle="1" w:styleId="17">
    <w:name w:val="日期 字符"/>
    <w:link w:val="6"/>
    <w:semiHidden/>
    <w:qFormat/>
    <w:locked/>
    <w:uiPriority w:val="99"/>
    <w:rPr>
      <w:rFonts w:cs="Times New Roman"/>
    </w:rPr>
  </w:style>
  <w:style w:type="character" w:customStyle="1" w:styleId="18">
    <w:name w:val="页脚 字符"/>
    <w:link w:val="7"/>
    <w:qFormat/>
    <w:locked/>
    <w:uiPriority w:val="99"/>
    <w:rPr>
      <w:rFonts w:cs="Times New Roman"/>
      <w:sz w:val="18"/>
      <w:szCs w:val="18"/>
    </w:rPr>
  </w:style>
  <w:style w:type="character" w:customStyle="1" w:styleId="19">
    <w:name w:val="页眉 字符"/>
    <w:link w:val="8"/>
    <w:semiHidden/>
    <w:qFormat/>
    <w:locked/>
    <w:uiPriority w:val="99"/>
    <w:rPr>
      <w:rFonts w:cs="Times New Roman"/>
      <w:sz w:val="18"/>
      <w:szCs w:val="18"/>
    </w:rPr>
  </w:style>
  <w:style w:type="paragraph" w:customStyle="1" w:styleId="20">
    <w:name w:val="List Paragraph"/>
    <w:basedOn w:val="1"/>
    <w:qFormat/>
    <w:uiPriority w:val="99"/>
    <w:pPr>
      <w:ind w:firstLine="420" w:firstLineChars="200"/>
    </w:pPr>
  </w:style>
  <w:style w:type="character" w:customStyle="1" w:styleId="21">
    <w:name w:val="font41"/>
    <w:basedOn w:val="12"/>
    <w:qFormat/>
    <w:uiPriority w:val="0"/>
    <w:rPr>
      <w:rFonts w:ascii="Calibri" w:hAnsi="Calibri" w:cs="Calibri"/>
      <w:color w:val="000000"/>
      <w:sz w:val="21"/>
      <w:szCs w:val="21"/>
      <w:u w:val="none"/>
    </w:rPr>
  </w:style>
  <w:style w:type="character" w:customStyle="1" w:styleId="22">
    <w:name w:val="font3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285</Words>
  <Characters>1628</Characters>
  <Lines>13</Lines>
  <Paragraphs>3</Paragraphs>
  <TotalTime>1</TotalTime>
  <ScaleCrop>false</ScaleCrop>
  <LinksUpToDate>false</LinksUpToDate>
  <CharactersWithSpaces>1910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xz1</dc:creator>
  <cp:lastModifiedBy>1</cp:lastModifiedBy>
  <cp:lastPrinted>2023-12-14T10:29:00Z</cp:lastPrinted>
  <dcterms:modified xsi:type="dcterms:W3CDTF">2025-09-12T08:39:43Z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2C75BE3C294C4FBD99F1D1892FDCF162</vt:lpwstr>
  </property>
</Properties>
</file>