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采购需求书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一、项目概况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1、项目名称：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中山市中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医院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综合楼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开荒保洁服务项目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2、项目内容：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医院新建一栋综合楼，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地上17层，地下2层，总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建筑面积约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7.4万平方米。现拟委托一家服务公司进行开荒保洁，服务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范围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包括综合楼所有区域，包括但不限于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外墙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清洗、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地面清洗、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墙面清洁、天花清洁、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玻璃清洁、全面牵尘、物体表面除尘清洁、家具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设备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表面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清洁、卫生间除污消毒等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3、预算金额：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350,000元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4、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服务期：约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60天，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具体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开荒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时间根据施工进度及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分批次开荒保洁指定的区域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，服务商需根据现场需要迅速反应，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随叫随到。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5、报价：包括人员工资、保险、税费、完成项目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需要的所有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设备、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工具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、药剂(清洁消毒剂等)、劳保用品、生活垃圾袋等。</w:t>
      </w:r>
    </w:p>
    <w:p>
      <w:pPr>
        <w:widowControl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二、服务内容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  <w:t>及要求</w:t>
      </w:r>
    </w:p>
    <w:tbl>
      <w:tblPr>
        <w:tblStyle w:val="8"/>
        <w:tblW w:w="8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1329"/>
        <w:gridCol w:w="6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3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40404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404040"/>
                <w:kern w:val="0"/>
                <w:sz w:val="24"/>
                <w:szCs w:val="24"/>
                <w:highlight w:val="none"/>
                <w:lang w:val="en-US" w:eastAsia="zh-CN" w:bidi="ar"/>
              </w:rPr>
              <w:t>区域类型</w:t>
            </w:r>
          </w:p>
        </w:tc>
        <w:tc>
          <w:tcPr>
            <w:tcW w:w="68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40404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404040"/>
                <w:kern w:val="0"/>
                <w:sz w:val="24"/>
                <w:szCs w:val="24"/>
                <w:highlight w:val="none"/>
                <w:lang w:val="en-US" w:eastAsia="zh-CN" w:bidi="ar"/>
              </w:rPr>
              <w:t>清洁项目与标准要求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3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公共区域</w:t>
            </w:r>
          </w:p>
        </w:tc>
        <w:tc>
          <w:tcPr>
            <w:tcW w:w="6897" w:type="dxa"/>
            <w:shd w:val="clear" w:color="auto" w:fill="auto"/>
            <w:vAlign w:val="center"/>
          </w:tcPr>
          <w:p>
            <w:pPr>
              <w:pStyle w:val="15"/>
              <w:rPr>
                <w:rFonts w:hint="eastAsia" w:asciiTheme="minorEastAsia" w:hAnsiTheme="minorEastAsia" w:eastAsiaTheme="minorEastAsia" w:cstheme="minorEastAsia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lang w:val="en-US" w:eastAsia="zh-CN"/>
              </w:rPr>
              <w:t>1.地面（石材/瓷砖/PVC）：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彻底清除水泥渍、油漆点、胶迹等所有装修残留，</w:t>
            </w:r>
            <w:r>
              <w:rPr>
                <w:rFonts w:hint="eastAsia" w:asciiTheme="minorEastAsia" w:hAnsiTheme="minorEastAsia" w:eastAsiaTheme="minorEastAsia" w:cstheme="minorEastAsia"/>
              </w:rPr>
              <w:t>所有地面清洁后要求无灰尘、无污渍、无残留。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玻璃/窗台：内外玻璃、窗框、窗槽清洁，无手印、无水痕、光洁透亮。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lang w:val="en-US" w:eastAsia="zh-CN"/>
              </w:rPr>
              <w:t>2.墙面/天花板：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擦拭墙面污渍、浮灰，清除残留涂料点、胶渍，天花板无蜘蛛网，无浮尘，墙角缝隙无杂物，灯具外表面擦拭干净。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lang w:val="en-US" w:eastAsia="zh-CN"/>
              </w:rPr>
              <w:t>3.金属制品：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栏杆、扶手、指示牌、消防栓等，无污渍、光亮如新。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lang w:val="en-US" w:eastAsia="zh-CN"/>
              </w:rPr>
              <w:t>4.卫生间：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马桶、小便池、洗手盆彻底消毒清洗，无黄垢、无水渍；墙面、隔断、地面清洁无污；配套设施（如纸巾盒、挂钩）擦拭干净。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3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医疗功能区 </w:t>
            </w:r>
          </w:p>
        </w:tc>
        <w:tc>
          <w:tcPr>
            <w:tcW w:w="6897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lang w:val="en-US" w:eastAsia="zh-CN"/>
              </w:rPr>
              <w:t>1.病房：</w:t>
            </w:r>
            <w:r>
              <w:rPr>
                <w:rFonts w:hint="eastAsia"/>
                <w:lang w:val="en-US" w:eastAsia="zh-CN"/>
              </w:rPr>
              <w:t>除上述标准外，重点清洁床头柜、床栏、呼叫器按钮、表面无污渍、无异味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val="en-US" w:eastAsia="zh-CN"/>
              </w:rPr>
              <w:t>对医疗辅助设备外表面（非核心操作区）进行除尘，避免触碰精密部件。</w:t>
            </w:r>
          </w:p>
          <w:p>
            <w:pPr>
              <w:pStyle w:val="15"/>
              <w:rPr>
                <w:rFonts w:hint="eastAsia" w:asciiTheme="minorEastAsia" w:hAnsiTheme="minorEastAsia" w:eastAsiaTheme="minorEastAsia" w:cstheme="minorEastAsia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lang w:val="en-US" w:eastAsia="zh-CN"/>
              </w:rPr>
              <w:t>2.血透中心：</w:t>
            </w:r>
            <w:r>
              <w:rPr>
                <w:rFonts w:hint="eastAsia"/>
                <w:lang w:val="en-US" w:eastAsia="zh-CN"/>
              </w:rPr>
              <w:t>必须使用符合标准的消毒剂，遵循医院感染控制要求，进行高标准的清洁与消毒。所有墙面、地面、设备表面均需无死角清洁消毒。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lang w:val="en-US" w:eastAsia="zh-CN"/>
              </w:rPr>
              <w:t>3.功能科室：</w:t>
            </w:r>
            <w:r>
              <w:rPr>
                <w:rFonts w:hint="eastAsia"/>
                <w:lang w:val="en-US" w:eastAsia="zh-CN"/>
              </w:rPr>
              <w:t>特别注意台面、仪器设备的表面清洁，避免使用腐蚀性化学品。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3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办公及其他区域</w:t>
            </w:r>
          </w:p>
        </w:tc>
        <w:tc>
          <w:tcPr>
            <w:tcW w:w="6897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1.办公室/会议室：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桌椅、柜子、门窗、踢脚线等全方位擦拭，地面彻底清洁。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2.楼梯间/消防通道：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台阶、扶手、墙面全面清洁，无垃圾。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3.地下车库：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清除所有垃圾和积尘（建筑垃圾除外），清扫并冲洗地面，干净整洁。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3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细节要求</w:t>
            </w:r>
          </w:p>
        </w:tc>
        <w:tc>
          <w:tcPr>
            <w:tcW w:w="6897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1.门/门框：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从上到下，无胶渍、无漆点。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2.踢脚线：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无灰尘、无漆点。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3.灯具外表面：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擦拭干净（不包含拆卸内部灯管）。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4.风口（表面）：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无灰尘、无污渍。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32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157" w:beforeLines="50"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外墙清洗</w:t>
            </w:r>
          </w:p>
        </w:tc>
        <w:tc>
          <w:tcPr>
            <w:tcW w:w="6897" w:type="dxa"/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方式：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根据外墙材质（玻璃幕墙、石材、铝板等）选择吊绳、高空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开荒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车或擦窗机。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要求：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使用中性清洁剂，清除灰尘、胶渍、水泥点，冲洗后不留水渍，不损伤外墙材质。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注意：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必须投保高空意外险，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作业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人员持证上岗。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标准：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目视所有区域干净整洁，无垃圾、无污渍、无水迹、无灰尘、无手印。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备注：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本次开荒精保洁是楼宇内部装修完毕后彻底清除过程中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遗留的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装修垃圾(建筑垃圾不包含在内)、污渍、灰尘等，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开荒保洁需达到“无垃圾、无灰尘、无污渍、无胶迹、无异味”的标准，所有区域目视及触摸均应洁净光亮，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确保医院环境达到可投入使用的卫生标准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质量达到国家规定的验收合格标准，符合国家技术规范和质量标准，满足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的使用需求。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360" w:lineRule="auto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bidi="ar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人员配备与设备要求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1</w:t>
      </w:r>
      <w:r>
        <w:rPr>
          <w:rFonts w:hint="eastAsia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人员配置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1.1 服务商应配备经验丰富、培训合格的专业团队，保洁人员必须经过专业的培训，具有相关的保洁工作经验，熟悉医院环境的特点和清洁原则，能够按照规范的操作流程进行清洁工作。并至少安排1名现场负责人，负责每日进度汇报、问题协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1.2 服务人员应统一着装，佩戴工作牌，遵守医院的各项规章制度。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1.3. 服务人员应具备良好的沟通能力和服务意识，积极配合医院的工作安排。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after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1.4 服务人员应具有安全服务意识。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设备要求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2.1 服务商需自备所有清洁设备，如大型洗地机、吸尘吸水机、高空开荒梯、多功能清洁车、玻璃清洁工具等，并保证设备完好、适用。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2.2 服务商配置专业的玻璃清洁工具、墙面清洁工具、地面清洁工具、物表清洁消毒工具（毛巾等）。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2.3 耗材要求：所有清洁剂、消毒剂、擦拭耗材等需为正规厂家生产，符合国家《医院消毒卫生标准》，禁止使用腐蚀性强、易产生有害气体的清洁产品。用于医疗区域的消毒剂必须提供有效成分说明和卫生许可批件，并符合院感要求。药剂必须符合环保要求，对人体和环境无害，具有很好的清洁效果和杀菌消毒能力，可以有效清洁医院内的环境。服务商在投标时须提供相关的检测报告和合格证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2.4 保洁设备必须符合环保要求，具有良好的清洁效果和高效的清洁能力，能够满足医院环境清洁的要求。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bidi="ar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安全与环保要求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1、服务期间需在周边位置设置安全警示标识，服务人员需穿戴统一工作服、防滑鞋，高空作业需要符合安全规范，配备防护设备。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2、服务期间所发生的安全事故，或因服务商过失而造成的损失，由服务商依法承担相应责任。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3、严格按照医院要求分类处理垃圾，并清运至医院指定地点，外运处理需符合上级部门相关规定。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4、禁止在开荒过程中损坏医院原有设施（如地面、墙面、设备等），若因操作不当造成损坏，由服务商承担相应赔偿责任。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eastAsia="zh-CN" w:bidi="ar"/>
        </w:rPr>
        <w:t>五、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其他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highlight w:val="none"/>
          <w:lang w:val="en-US" w:eastAsia="zh-CN"/>
        </w:rPr>
        <w:t>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、服务商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需根据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施工进度以及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 xml:space="preserve">科室开科需求，制定详细的进度计划，配合科室开荒保洁。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2、服务商须确保在科室开荒的每个节点都有充足的人力安排，以满足开荒需求。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室内区域，需在设备、家具进场安装前，进行一轮清洁，清除所有垃圾、装修残留、灰尘、污渍，在设备、家具安装完成后，再进行一轮彻底的无尘开荒保洁，确保医院环境达到可投入使用的卫生标准。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3、服务商须根据不同物件、材质，采用相适应的清洁原料和操作方法，保证施工质量。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生活垃圾外运费和垃圾处理费用，由采购人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承担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beforeAutospacing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val="en-US" w:eastAsia="zh-CN" w:bidi="ar"/>
        </w:rPr>
        <w:t>六、付款方式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pacing w:beforeAutospacing="0" w:afterAutospacing="0"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服务完成后，服务商提交验收资料（清洗前后照片等），经采购人验收合格后，服务商开具全额正规发票，采购人于60天内支付合同款项。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360" w:lineRule="auto"/>
        <w:ind w:left="0" w:leftChars="0" w:right="0" w:rightChars="0" w:firstLine="0" w:firstLineChars="0"/>
        <w:textAlignment w:val="auto"/>
        <w:rPr>
          <w:rFonts w:ascii="宋体" w:hAnsi="宋体" w:eastAsia="宋体" w:cs="宋体"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YTFiNjgyODBiN2M5OWJkOTgyZDVmODRkOWU3ZDQifQ=="/>
  </w:docVars>
  <w:rsids>
    <w:rsidRoot w:val="44C01BAB"/>
    <w:rsid w:val="001462B5"/>
    <w:rsid w:val="00155C0A"/>
    <w:rsid w:val="001D18FA"/>
    <w:rsid w:val="001F7637"/>
    <w:rsid w:val="00212FF1"/>
    <w:rsid w:val="002376C8"/>
    <w:rsid w:val="0029395B"/>
    <w:rsid w:val="003C326D"/>
    <w:rsid w:val="003F2019"/>
    <w:rsid w:val="00451217"/>
    <w:rsid w:val="004B6248"/>
    <w:rsid w:val="004B78DB"/>
    <w:rsid w:val="0051216C"/>
    <w:rsid w:val="0059546A"/>
    <w:rsid w:val="00661FF0"/>
    <w:rsid w:val="006A2244"/>
    <w:rsid w:val="006D673B"/>
    <w:rsid w:val="00704A4E"/>
    <w:rsid w:val="007440CD"/>
    <w:rsid w:val="00767DBE"/>
    <w:rsid w:val="00860DA2"/>
    <w:rsid w:val="008B7152"/>
    <w:rsid w:val="00926BB4"/>
    <w:rsid w:val="00983934"/>
    <w:rsid w:val="00A53EBC"/>
    <w:rsid w:val="00A81689"/>
    <w:rsid w:val="00BE3BA6"/>
    <w:rsid w:val="00C01F4B"/>
    <w:rsid w:val="00C67A90"/>
    <w:rsid w:val="00CD4703"/>
    <w:rsid w:val="00D5729A"/>
    <w:rsid w:val="00E95B1C"/>
    <w:rsid w:val="00F221F9"/>
    <w:rsid w:val="00F45FC4"/>
    <w:rsid w:val="00F63EEA"/>
    <w:rsid w:val="00F75BB3"/>
    <w:rsid w:val="00FF2B73"/>
    <w:rsid w:val="0157725A"/>
    <w:rsid w:val="03E55E27"/>
    <w:rsid w:val="06C07194"/>
    <w:rsid w:val="07C45372"/>
    <w:rsid w:val="09F41884"/>
    <w:rsid w:val="0A7F2FB4"/>
    <w:rsid w:val="0E013C91"/>
    <w:rsid w:val="11464552"/>
    <w:rsid w:val="115D04C2"/>
    <w:rsid w:val="122934E5"/>
    <w:rsid w:val="15981F0D"/>
    <w:rsid w:val="1A0A6509"/>
    <w:rsid w:val="1AA705E8"/>
    <w:rsid w:val="1C3666A0"/>
    <w:rsid w:val="1CAC44F0"/>
    <w:rsid w:val="1DDD0973"/>
    <w:rsid w:val="1E29229C"/>
    <w:rsid w:val="1F012B93"/>
    <w:rsid w:val="25125C4A"/>
    <w:rsid w:val="275559A6"/>
    <w:rsid w:val="27DD0774"/>
    <w:rsid w:val="286415ED"/>
    <w:rsid w:val="28885BBB"/>
    <w:rsid w:val="28F2772E"/>
    <w:rsid w:val="29010E38"/>
    <w:rsid w:val="292835F2"/>
    <w:rsid w:val="29C96D1B"/>
    <w:rsid w:val="2A9071FF"/>
    <w:rsid w:val="2F803A57"/>
    <w:rsid w:val="31E3055C"/>
    <w:rsid w:val="31F82563"/>
    <w:rsid w:val="334212B2"/>
    <w:rsid w:val="34162F17"/>
    <w:rsid w:val="34D12855"/>
    <w:rsid w:val="369231DC"/>
    <w:rsid w:val="3AD4344F"/>
    <w:rsid w:val="407B4E07"/>
    <w:rsid w:val="42CB6BCE"/>
    <w:rsid w:val="44C01BAB"/>
    <w:rsid w:val="458C6E08"/>
    <w:rsid w:val="45F90E87"/>
    <w:rsid w:val="47D0785D"/>
    <w:rsid w:val="4830025C"/>
    <w:rsid w:val="4A3E5DBE"/>
    <w:rsid w:val="534F276C"/>
    <w:rsid w:val="574F7976"/>
    <w:rsid w:val="59D66C8D"/>
    <w:rsid w:val="5B630FCD"/>
    <w:rsid w:val="5BD0463B"/>
    <w:rsid w:val="62632EA9"/>
    <w:rsid w:val="64ED5FA7"/>
    <w:rsid w:val="694468EC"/>
    <w:rsid w:val="69A1434D"/>
    <w:rsid w:val="73076EFF"/>
    <w:rsid w:val="73186C1C"/>
    <w:rsid w:val="73B553C2"/>
    <w:rsid w:val="74584057"/>
    <w:rsid w:val="74F902BA"/>
    <w:rsid w:val="7A612525"/>
    <w:rsid w:val="7B0326A2"/>
    <w:rsid w:val="7C1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9"/>
    <w:basedOn w:val="1"/>
    <w:next w:val="1"/>
    <w:qFormat/>
    <w:uiPriority w:val="0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  <w:color w:val="C55A11" w:themeColor="accent2" w:themeShade="BF"/>
      <w:spacing w:val="5"/>
    </w:rPr>
  </w:style>
  <w:style w:type="character" w:customStyle="1" w:styleId="12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使用正文"/>
    <w:basedOn w:val="1"/>
    <w:qFormat/>
    <w:uiPriority w:val="0"/>
    <w:pPr>
      <w:widowControl/>
      <w:jc w:val="left"/>
    </w:pPr>
    <w:rPr>
      <w:rFonts w:ascii="仿宋_GB2312" w:hAnsi="仿宋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223</Words>
  <Characters>1277</Characters>
  <Lines>10</Lines>
  <Paragraphs>2</Paragraphs>
  <TotalTime>0</TotalTime>
  <ScaleCrop>false</ScaleCrop>
  <LinksUpToDate>false</LinksUpToDate>
  <CharactersWithSpaces>1498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2023-08-01T06:44:00Z</dcterms:created>
  <dc:creator>宁静致远</dc:creator>
  <cp:lastModifiedBy>1</cp:lastModifiedBy>
  <dcterms:modified xsi:type="dcterms:W3CDTF">2025-09-16T00:25:48Z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4AEDC134B1C64E45ACEA835CFD22197E_13</vt:lpwstr>
  </property>
</Properties>
</file>