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宋体"/>
          <w:highlight w:val="none"/>
        </w:rPr>
      </w:pPr>
      <w:r>
        <w:rPr>
          <w:rFonts w:hint="eastAsia" w:ascii="宋体" w:hAnsi="宋体"/>
          <w:highlight w:val="none"/>
        </w:rPr>
        <w:t>中山市中医院2025年-2028年律师服务项目</w:t>
      </w:r>
    </w:p>
    <w:p>
      <w:pPr>
        <w:spacing w:line="380" w:lineRule="exact"/>
        <w:ind w:left="420"/>
        <w:rPr>
          <w:rFonts w:ascii="宋体"/>
          <w:b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一、</w:t>
      </w:r>
      <w:r>
        <w:rPr>
          <w:rFonts w:hint="eastAsia" w:ascii="宋体" w:hAnsi="宋体"/>
          <w:b/>
          <w:szCs w:val="21"/>
          <w:highlight w:val="none"/>
        </w:rPr>
        <w:t>项目概况</w:t>
      </w:r>
    </w:p>
    <w:p>
      <w:pPr>
        <w:spacing w:line="380" w:lineRule="exact"/>
        <w:ind w:left="420"/>
        <w:rPr>
          <w:rFonts w:ascii="宋体"/>
          <w:bCs/>
          <w:szCs w:val="21"/>
          <w:highlight w:val="none"/>
        </w:rPr>
      </w:pPr>
      <w:r>
        <w:rPr>
          <w:rFonts w:ascii="宋体" w:hAnsi="宋体"/>
          <w:bCs/>
          <w:szCs w:val="21"/>
          <w:highlight w:val="none"/>
        </w:rPr>
        <w:t>1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.</w:t>
      </w:r>
      <w:r>
        <w:rPr>
          <w:rFonts w:hint="eastAsia" w:ascii="宋体" w:hAnsi="宋体"/>
          <w:bCs/>
          <w:szCs w:val="21"/>
          <w:highlight w:val="none"/>
        </w:rPr>
        <w:t>项目名称：</w:t>
      </w:r>
      <w:r>
        <w:rPr>
          <w:rFonts w:hint="eastAsia" w:ascii="宋体" w:hAnsi="宋体"/>
          <w:highlight w:val="none"/>
        </w:rPr>
        <w:t>中山市中医院</w:t>
      </w:r>
      <w:r>
        <w:rPr>
          <w:rFonts w:hint="eastAsia" w:ascii="宋体" w:hAnsi="宋体" w:cs="仿宋_GB2312"/>
          <w:szCs w:val="21"/>
          <w:highlight w:val="none"/>
        </w:rPr>
        <w:t>2025年-2028年律师</w:t>
      </w:r>
      <w:r>
        <w:rPr>
          <w:rFonts w:hint="eastAsia" w:ascii="宋体" w:hAnsi="宋体"/>
          <w:highlight w:val="none"/>
        </w:rPr>
        <w:t>服务项目</w:t>
      </w:r>
    </w:p>
    <w:p>
      <w:pPr>
        <w:spacing w:line="380" w:lineRule="exact"/>
        <w:ind w:firstLine="420" w:firstLineChars="200"/>
        <w:rPr>
          <w:rFonts w:ascii="宋体" w:hAnsi="宋体" w:cs="仿宋_GB2312"/>
          <w:color w:val="FF0000"/>
          <w:szCs w:val="21"/>
          <w:highlight w:val="none"/>
        </w:rPr>
      </w:pPr>
      <w:r>
        <w:rPr>
          <w:rFonts w:ascii="宋体" w:hAnsi="宋体" w:cs="宋体"/>
          <w:color w:val="000000"/>
          <w:kern w:val="0"/>
          <w:szCs w:val="21"/>
          <w:highlight w:val="none"/>
        </w:rPr>
        <w:t>2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项</w:t>
      </w:r>
      <w:r>
        <w:rPr>
          <w:rFonts w:hint="eastAsia" w:ascii="宋体" w:hAnsi="宋体" w:cs="宋体"/>
          <w:kern w:val="0"/>
          <w:szCs w:val="21"/>
          <w:highlight w:val="none"/>
        </w:rPr>
        <w:t>目内容：医院拟</w:t>
      </w:r>
      <w:r>
        <w:rPr>
          <w:rFonts w:hint="eastAsia" w:ascii="宋体" w:hAnsi="宋体" w:cs="仿宋_GB2312"/>
          <w:szCs w:val="21"/>
          <w:highlight w:val="none"/>
        </w:rPr>
        <w:t>委托一家律师事务所，通过相关法律途径，协助医院进行维权清收经医院合理催告仍无法清收的医疗欠款。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ascii="宋体" w:hAnsi="宋体" w:cs="仿宋_GB2312"/>
          <w:szCs w:val="21"/>
          <w:highlight w:val="none"/>
        </w:rPr>
        <w:t>3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仿宋_GB2312"/>
          <w:szCs w:val="21"/>
          <w:highlight w:val="none"/>
        </w:rPr>
        <w:t>预算金额：80000元</w:t>
      </w:r>
    </w:p>
    <w:p>
      <w:pPr>
        <w:widowControl/>
        <w:tabs>
          <w:tab w:val="left" w:pos="424"/>
        </w:tabs>
        <w:spacing w:line="38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ascii="宋体" w:hAnsi="宋体" w:cs="宋体"/>
          <w:kern w:val="0"/>
          <w:szCs w:val="21"/>
          <w:highlight w:val="none"/>
        </w:rPr>
        <w:t>4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宋体"/>
          <w:kern w:val="0"/>
          <w:szCs w:val="21"/>
          <w:highlight w:val="none"/>
        </w:rPr>
        <w:t>服务期：3年</w:t>
      </w:r>
    </w:p>
    <w:p>
      <w:pPr>
        <w:widowControl/>
        <w:tabs>
          <w:tab w:val="left" w:pos="424"/>
        </w:tabs>
        <w:spacing w:line="380" w:lineRule="exact"/>
        <w:ind w:firstLine="420" w:firstLineChars="200"/>
        <w:jc w:val="left"/>
        <w:rPr>
          <w:rFonts w:hint="eastAsia"/>
          <w:b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cs="宋体"/>
          <w:kern w:val="0"/>
          <w:szCs w:val="21"/>
          <w:highlight w:val="none"/>
        </w:rPr>
        <w:t>服务商</w:t>
      </w:r>
      <w:r>
        <w:rPr>
          <w:rFonts w:hint="eastAsia"/>
          <w:szCs w:val="21"/>
          <w:highlight w:val="none"/>
        </w:rPr>
        <w:t>须具备广东省政府采购智慧云平台电子卖场供应商资质。</w:t>
      </w:r>
    </w:p>
    <w:p>
      <w:pPr>
        <w:spacing w:line="380" w:lineRule="exact"/>
        <w:ind w:firstLine="422" w:firstLineChars="200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二、服务内容及要求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ascii="宋体" w:hAnsi="宋体" w:cs="仿宋_GB2312"/>
          <w:szCs w:val="21"/>
          <w:highlight w:val="none"/>
        </w:rPr>
        <w:t>1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仿宋_GB2312"/>
          <w:szCs w:val="21"/>
          <w:highlight w:val="none"/>
        </w:rPr>
        <w:t>服务商为采购人免费提供医疗欠款方面的法律咨询、建议。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2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仿宋_GB2312"/>
          <w:szCs w:val="21"/>
          <w:highlight w:val="none"/>
        </w:rPr>
        <w:t>服务商根据具体情况，向欠费人员及连带责任人员发送催收律师函。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3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仿宋_GB2312"/>
          <w:szCs w:val="21"/>
          <w:highlight w:val="none"/>
        </w:rPr>
        <w:t>服务商根据具体情况，对欠费人员及连带责任人员提起诉讼，追索所欠医疗费用。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4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仿宋_GB2312"/>
          <w:szCs w:val="21"/>
          <w:highlight w:val="none"/>
        </w:rPr>
        <w:t>法院诉讼费用须由服务商先行垫付，按</w:t>
      </w:r>
      <w:r>
        <w:rPr>
          <w:rFonts w:hint="eastAsia" w:ascii="宋体" w:hAnsi="宋体" w:cs="仿宋_GB2312"/>
          <w:color w:val="auto"/>
          <w:szCs w:val="21"/>
          <w:highlight w:val="none"/>
        </w:rPr>
        <w:t>季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度</w:t>
      </w:r>
      <w:r>
        <w:rPr>
          <w:rFonts w:hint="eastAsia" w:ascii="宋体" w:hAnsi="宋体" w:cs="仿宋_GB2312"/>
          <w:szCs w:val="21"/>
          <w:highlight w:val="none"/>
        </w:rPr>
        <w:t>凭诉讼费发票向采购人结算。</w:t>
      </w:r>
    </w:p>
    <w:p>
      <w:pPr>
        <w:spacing w:line="380" w:lineRule="exact"/>
        <w:ind w:firstLine="420" w:firstLineChars="200"/>
        <w:rPr>
          <w:rFonts w:hint="eastAsia"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5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仿宋_GB2312"/>
          <w:szCs w:val="21"/>
          <w:highlight w:val="none"/>
        </w:rPr>
        <w:t>追索医疗费用案件，法院工作人员及代理人出差外市、外省进行办案或执行的差旅费、住宿费、交通费等费用由服务商承担。</w:t>
      </w:r>
    </w:p>
    <w:p>
      <w:pPr>
        <w:widowControl/>
        <w:tabs>
          <w:tab w:val="left" w:pos="424"/>
        </w:tabs>
        <w:spacing w:line="380" w:lineRule="exact"/>
        <w:ind w:firstLine="420" w:firstLineChars="200"/>
        <w:jc w:val="left"/>
        <w:rPr>
          <w:rFonts w:hint="default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6.项目终止：</w:t>
      </w:r>
      <w:r>
        <w:rPr>
          <w:rFonts w:hint="eastAsia"/>
          <w:sz w:val="21"/>
          <w:highlight w:val="none"/>
          <w:lang w:val="en-US" w:eastAsia="zh-CN"/>
        </w:rPr>
        <w:t>服务期内累计结算金额达到项目预算金额或合同服务期满的，以先到者为准。</w:t>
      </w:r>
      <w:bookmarkStart w:id="0" w:name="_GoBack"/>
      <w:bookmarkEnd w:id="0"/>
    </w:p>
    <w:p>
      <w:pPr>
        <w:spacing w:line="380" w:lineRule="exact"/>
        <w:ind w:left="315" w:leftChars="150" w:firstLine="97" w:firstLineChars="46"/>
        <w:rPr>
          <w:rFonts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三、报价要求</w:t>
      </w:r>
    </w:p>
    <w:p>
      <w:pPr>
        <w:spacing w:line="380" w:lineRule="exact"/>
        <w:ind w:firstLine="420" w:firstLineChars="200"/>
        <w:rPr>
          <w:rFonts w:hint="eastAsia"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仿宋_GB2312"/>
          <w:szCs w:val="21"/>
          <w:highlight w:val="none"/>
        </w:rPr>
        <w:t>案件</w:t>
      </w:r>
      <w:r>
        <w:rPr>
          <w:rFonts w:hint="eastAsia" w:ascii="宋体" w:hAnsi="宋体" w:cs="仿宋_GB2312"/>
          <w:szCs w:val="21"/>
          <w:highlight w:val="none"/>
          <w:lang w:eastAsia="zh-CN"/>
        </w:rPr>
        <w:t>保底服务费</w:t>
      </w:r>
      <w:r>
        <w:rPr>
          <w:rFonts w:hint="eastAsia" w:ascii="宋体" w:hAnsi="宋体" w:cs="仿宋_GB2312"/>
          <w:szCs w:val="21"/>
          <w:highlight w:val="none"/>
        </w:rPr>
        <w:t>：</w:t>
      </w:r>
      <w:r>
        <w:rPr>
          <w:rFonts w:hint="eastAsia" w:ascii="宋体" w:hAnsi="宋体" w:cs="仿宋_GB2312"/>
          <w:szCs w:val="21"/>
          <w:highlight w:val="none"/>
          <w:lang w:eastAsia="zh-CN"/>
        </w:rPr>
        <w:t>不高于</w:t>
      </w:r>
      <w:r>
        <w:rPr>
          <w:rFonts w:hint="eastAsia" w:ascii="宋体" w:hAnsi="宋体" w:cs="仿宋_GB2312"/>
          <w:color w:val="auto"/>
          <w:szCs w:val="21"/>
          <w:highlight w:val="none"/>
        </w:rPr>
        <w:t>1</w:t>
      </w:r>
      <w:r>
        <w:rPr>
          <w:rFonts w:hint="eastAsia" w:ascii="宋体" w:hAnsi="宋体" w:cs="仿宋_GB2312"/>
          <w:color w:val="auto"/>
          <w:szCs w:val="21"/>
          <w:highlight w:val="none"/>
          <w:lang w:val="en-US" w:eastAsia="zh-CN"/>
        </w:rPr>
        <w:t>5</w:t>
      </w:r>
      <w:r>
        <w:rPr>
          <w:rFonts w:ascii="宋体" w:hAnsi="宋体" w:cs="仿宋_GB2312"/>
          <w:color w:val="auto"/>
          <w:szCs w:val="21"/>
          <w:highlight w:val="none"/>
        </w:rPr>
        <w:t>00</w:t>
      </w:r>
      <w:r>
        <w:rPr>
          <w:rFonts w:hint="eastAsia" w:ascii="宋体" w:hAnsi="宋体" w:cs="仿宋_GB2312"/>
          <w:color w:val="auto"/>
          <w:szCs w:val="21"/>
          <w:highlight w:val="none"/>
        </w:rPr>
        <w:t>元/案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cs="仿宋_GB2312"/>
          <w:szCs w:val="21"/>
          <w:highlight w:val="none"/>
        </w:rPr>
        <w:t>中山市内办结(含审判或执行)的案件，服务费用不高于实际收回金额的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仿宋_GB2312"/>
          <w:szCs w:val="21"/>
          <w:highlight w:val="none"/>
        </w:rPr>
        <w:t>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cs="仿宋_GB2312"/>
          <w:szCs w:val="21"/>
          <w:highlight w:val="none"/>
        </w:rPr>
        <w:t>广东省内中山市外办结(含审判或执行)的案件，服务费用不高于实际收回金额的1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仿宋_GB2312"/>
          <w:szCs w:val="21"/>
          <w:highlight w:val="none"/>
        </w:rPr>
        <w:t>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cs="仿宋_GB2312"/>
          <w:szCs w:val="21"/>
          <w:highlight w:val="none"/>
        </w:rPr>
        <w:t>广东省外办结(含审判或执行)的案件，服务费用不高于实际收回金额的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cs="仿宋_GB2312"/>
          <w:szCs w:val="21"/>
          <w:highlight w:val="none"/>
        </w:rPr>
        <w:t>%。</w:t>
      </w:r>
    </w:p>
    <w:p>
      <w:pPr>
        <w:spacing w:line="380" w:lineRule="exact"/>
        <w:ind w:firstLine="420" w:firstLineChars="200"/>
        <w:rPr>
          <w:rFonts w:hint="eastAsia"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★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cs="仿宋_GB2312"/>
          <w:color w:val="auto"/>
          <w:szCs w:val="21"/>
          <w:highlight w:val="none"/>
        </w:rPr>
        <w:t>如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每案实际提成收入</w:t>
      </w:r>
      <w:r>
        <w:rPr>
          <w:rFonts w:hint="eastAsia" w:ascii="宋体" w:hAnsi="宋体" w:cs="仿宋_GB2312"/>
          <w:color w:val="auto"/>
          <w:szCs w:val="21"/>
          <w:highlight w:val="none"/>
        </w:rPr>
        <w:t>高于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保底服务费的</w:t>
      </w:r>
      <w:r>
        <w:rPr>
          <w:rFonts w:hint="eastAsia" w:ascii="宋体" w:hAnsi="宋体" w:cs="仿宋_GB2312"/>
          <w:color w:val="auto"/>
          <w:szCs w:val="21"/>
          <w:highlight w:val="none"/>
        </w:rPr>
        <w:t>，则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cs="仿宋_GB2312"/>
          <w:color w:val="auto"/>
          <w:szCs w:val="21"/>
          <w:highlight w:val="none"/>
        </w:rPr>
        <w:t>按实际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提成</w:t>
      </w:r>
      <w:r>
        <w:rPr>
          <w:rFonts w:hint="eastAsia" w:ascii="宋体" w:hAnsi="宋体" w:cs="仿宋_GB2312"/>
          <w:color w:val="auto"/>
          <w:szCs w:val="21"/>
          <w:highlight w:val="none"/>
        </w:rPr>
        <w:t>金额支付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服务商</w:t>
      </w:r>
      <w:r>
        <w:rPr>
          <w:rFonts w:hint="eastAsia" w:ascii="宋体" w:hAnsi="宋体" w:cs="仿宋_GB2312"/>
          <w:color w:val="auto"/>
          <w:szCs w:val="21"/>
          <w:highlight w:val="none"/>
        </w:rPr>
        <w:t>；如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每案实际提成收入低</w:t>
      </w:r>
      <w:r>
        <w:rPr>
          <w:rFonts w:hint="eastAsia" w:ascii="宋体" w:hAnsi="宋体" w:cs="仿宋_GB2312"/>
          <w:color w:val="auto"/>
          <w:szCs w:val="21"/>
          <w:highlight w:val="none"/>
        </w:rPr>
        <w:t>于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保底服务费的</w:t>
      </w:r>
      <w:r>
        <w:rPr>
          <w:rFonts w:hint="eastAsia" w:ascii="宋体" w:hAnsi="宋体" w:cs="仿宋_GB2312"/>
          <w:color w:val="auto"/>
          <w:szCs w:val="21"/>
          <w:highlight w:val="none"/>
        </w:rPr>
        <w:t>，则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采购人中标保底服务费</w:t>
      </w:r>
      <w:r>
        <w:rPr>
          <w:rFonts w:hint="eastAsia" w:ascii="宋体" w:hAnsi="宋体" w:cs="仿宋_GB2312"/>
          <w:color w:val="auto"/>
          <w:szCs w:val="21"/>
          <w:highlight w:val="none"/>
        </w:rPr>
        <w:t>支付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给服务商</w:t>
      </w:r>
      <w:r>
        <w:rPr>
          <w:rFonts w:hint="eastAsia" w:ascii="宋体" w:hAnsi="宋体" w:cs="仿宋_GB2312"/>
          <w:color w:val="auto"/>
          <w:szCs w:val="21"/>
          <w:highlight w:val="none"/>
        </w:rPr>
        <w:t>。</w:t>
      </w:r>
    </w:p>
    <w:p>
      <w:pPr>
        <w:spacing w:line="380" w:lineRule="exact"/>
        <w:rPr>
          <w:rFonts w:hint="eastAsia" w:ascii="宋体" w:hAnsi="宋体"/>
          <w:b/>
          <w:color w:val="000000"/>
          <w:szCs w:val="21"/>
          <w:highlight w:val="none"/>
        </w:rPr>
      </w:pPr>
    </w:p>
    <w:p>
      <w:pPr>
        <w:spacing w:line="380" w:lineRule="exact"/>
        <w:ind w:left="315" w:leftChars="150" w:firstLine="97" w:firstLineChars="46"/>
        <w:rPr>
          <w:rFonts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四、付款方式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1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仿宋_GB2312"/>
          <w:szCs w:val="21"/>
          <w:highlight w:val="none"/>
        </w:rPr>
        <w:t>法院诉讼费用待每次案件结束后，服务商提交诉讼费正规发票，采购人收到后60个自然日内支付相应费用。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2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仿宋_GB2312"/>
          <w:szCs w:val="21"/>
          <w:highlight w:val="none"/>
        </w:rPr>
        <w:t>服务商根据每次实际收回的金额，按合同附件约定的比例收取服务费。待甲方财务管理部门确认款项到账后，乙方按合同附件约定的服务费收取比例开具相应金额的正规发票，甲方收到后60个自然日内支付相应费用。</w:t>
      </w:r>
    </w:p>
    <w:p>
      <w:pPr>
        <w:widowControl/>
        <w:jc w:val="left"/>
        <w:rPr>
          <w:sz w:val="28"/>
          <w:highlight w:val="none"/>
        </w:rPr>
      </w:pP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  <w:highlight w:val="none"/>
        </w:rPr>
      </w:pP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cs="宋体"/>
          <w:bCs/>
          <w:color w:val="000000"/>
          <w:kern w:val="0"/>
          <w:sz w:val="24"/>
          <w:szCs w:val="24"/>
          <w:highlight w:val="none"/>
        </w:rPr>
        <w:t>附件：</w:t>
      </w:r>
    </w:p>
    <w:p>
      <w:pPr>
        <w:widowControl/>
        <w:jc w:val="center"/>
        <w:rPr>
          <w:rFonts w:ascii="宋体" w:cs="宋体"/>
          <w:bCs/>
          <w:color w:val="000000"/>
          <w:kern w:val="0"/>
          <w:sz w:val="30"/>
          <w:szCs w:val="30"/>
          <w:highlight w:val="none"/>
        </w:rPr>
      </w:pPr>
      <w:r>
        <w:rPr>
          <w:rFonts w:hint="eastAsia" w:ascii="宋体" w:cs="宋体"/>
          <w:bCs/>
          <w:color w:val="000000"/>
          <w:kern w:val="0"/>
          <w:sz w:val="30"/>
          <w:szCs w:val="30"/>
          <w:highlight w:val="none"/>
        </w:rPr>
        <w:t>项目报价单</w:t>
      </w:r>
    </w:p>
    <w:tbl>
      <w:tblPr>
        <w:tblStyle w:val="12"/>
        <w:tblW w:w="8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867"/>
        <w:gridCol w:w="1841"/>
        <w:gridCol w:w="1403"/>
        <w:gridCol w:w="14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案件类型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服务限价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服务商报价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在中山市内办结(含审判或执行)的自费案件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服务费用不高于实际收回金额的</w:t>
            </w: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价格评分时，本项占比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广东省内中山市外办结(含审判或执行)的自费案件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服务费用不高于实际收回金额的1</w:t>
            </w: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价格评分时，本项占比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广东省外办结(含审判或执行)的自费案件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服务费用不高于实际收回金额的</w:t>
            </w: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价格评分时，本项占比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eastAsia="zh-CN"/>
              </w:rPr>
              <w:t>案件保底服务费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eastAsia="zh-CN"/>
              </w:rPr>
              <w:t>不高于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宋体" w:hAnsi="宋体" w:cs="仿宋_GB2312"/>
                <w:color w:val="auto"/>
                <w:szCs w:val="21"/>
                <w:highlight w:val="none"/>
              </w:rPr>
              <w:t>00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元/案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价格评分时，本项占比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0%</w:t>
            </w:r>
          </w:p>
        </w:tc>
      </w:tr>
    </w:tbl>
    <w:p>
      <w:pPr>
        <w:widowControl/>
        <w:rPr>
          <w:rFonts w:ascii="宋体" w:cs="宋体"/>
          <w:bCs/>
          <w:color w:val="000000"/>
          <w:kern w:val="0"/>
          <w:szCs w:val="21"/>
          <w:highlight w:val="none"/>
        </w:rPr>
      </w:pPr>
    </w:p>
    <w:p>
      <w:pPr>
        <w:widowControl/>
        <w:rPr>
          <w:rFonts w:ascii="宋体" w:cs="宋体"/>
          <w:bCs/>
          <w:color w:val="000000"/>
          <w:kern w:val="0"/>
          <w:szCs w:val="21"/>
          <w:highlight w:val="none"/>
        </w:rPr>
      </w:pPr>
      <w:r>
        <w:rPr>
          <w:rFonts w:hint="eastAsia" w:ascii="宋体" w:cs="宋体"/>
          <w:bCs/>
          <w:color w:val="000000"/>
          <w:kern w:val="0"/>
          <w:szCs w:val="21"/>
          <w:highlight w:val="none"/>
        </w:rPr>
        <w:t>注：按以往经验，中山市内执行的案件比例较高。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84B"/>
    <w:rsid w:val="00012E8F"/>
    <w:rsid w:val="00025C66"/>
    <w:rsid w:val="00031220"/>
    <w:rsid w:val="0003131D"/>
    <w:rsid w:val="00031681"/>
    <w:rsid w:val="00041A9B"/>
    <w:rsid w:val="00055BB0"/>
    <w:rsid w:val="00063F48"/>
    <w:rsid w:val="00065209"/>
    <w:rsid w:val="000656F0"/>
    <w:rsid w:val="00084535"/>
    <w:rsid w:val="00086879"/>
    <w:rsid w:val="00090F08"/>
    <w:rsid w:val="000A075D"/>
    <w:rsid w:val="000A2CDB"/>
    <w:rsid w:val="000B0AF5"/>
    <w:rsid w:val="000B1B61"/>
    <w:rsid w:val="000B5AEC"/>
    <w:rsid w:val="000B733E"/>
    <w:rsid w:val="000B7596"/>
    <w:rsid w:val="000C1A22"/>
    <w:rsid w:val="000C296F"/>
    <w:rsid w:val="000C3976"/>
    <w:rsid w:val="000C44AD"/>
    <w:rsid w:val="000C6632"/>
    <w:rsid w:val="000D0B76"/>
    <w:rsid w:val="000D7FC1"/>
    <w:rsid w:val="000E2ED3"/>
    <w:rsid w:val="000F2381"/>
    <w:rsid w:val="0011735E"/>
    <w:rsid w:val="001317B0"/>
    <w:rsid w:val="0013287F"/>
    <w:rsid w:val="001417C1"/>
    <w:rsid w:val="00161782"/>
    <w:rsid w:val="001670C9"/>
    <w:rsid w:val="00173427"/>
    <w:rsid w:val="001771EA"/>
    <w:rsid w:val="001802D0"/>
    <w:rsid w:val="0018440E"/>
    <w:rsid w:val="001A67F5"/>
    <w:rsid w:val="001B0007"/>
    <w:rsid w:val="001B392C"/>
    <w:rsid w:val="001D1CAB"/>
    <w:rsid w:val="001D7351"/>
    <w:rsid w:val="001E2CA0"/>
    <w:rsid w:val="001E32BE"/>
    <w:rsid w:val="001E62EF"/>
    <w:rsid w:val="001F0D7C"/>
    <w:rsid w:val="001F5C19"/>
    <w:rsid w:val="001F63E1"/>
    <w:rsid w:val="001F7C64"/>
    <w:rsid w:val="001F7CCB"/>
    <w:rsid w:val="0020158A"/>
    <w:rsid w:val="00211407"/>
    <w:rsid w:val="00216B47"/>
    <w:rsid w:val="00216C46"/>
    <w:rsid w:val="00223CFE"/>
    <w:rsid w:val="00225831"/>
    <w:rsid w:val="00231BC5"/>
    <w:rsid w:val="002336B8"/>
    <w:rsid w:val="00236BCD"/>
    <w:rsid w:val="002403A4"/>
    <w:rsid w:val="002403DE"/>
    <w:rsid w:val="0024152D"/>
    <w:rsid w:val="00256617"/>
    <w:rsid w:val="002656D7"/>
    <w:rsid w:val="00267BB1"/>
    <w:rsid w:val="00271584"/>
    <w:rsid w:val="00271DE1"/>
    <w:rsid w:val="002722E1"/>
    <w:rsid w:val="00273CC1"/>
    <w:rsid w:val="002852D0"/>
    <w:rsid w:val="002919AD"/>
    <w:rsid w:val="002945AA"/>
    <w:rsid w:val="00297A6F"/>
    <w:rsid w:val="002A233D"/>
    <w:rsid w:val="002B3293"/>
    <w:rsid w:val="002B7B52"/>
    <w:rsid w:val="002C0A7E"/>
    <w:rsid w:val="002C1A9D"/>
    <w:rsid w:val="002E14A6"/>
    <w:rsid w:val="002F47EE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71F2"/>
    <w:rsid w:val="0032265C"/>
    <w:rsid w:val="00324217"/>
    <w:rsid w:val="00327E6E"/>
    <w:rsid w:val="00332B2A"/>
    <w:rsid w:val="00334C99"/>
    <w:rsid w:val="003415F0"/>
    <w:rsid w:val="00341E54"/>
    <w:rsid w:val="00342127"/>
    <w:rsid w:val="00347319"/>
    <w:rsid w:val="003675A4"/>
    <w:rsid w:val="00372058"/>
    <w:rsid w:val="003727E8"/>
    <w:rsid w:val="00374C0B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3E9D"/>
    <w:rsid w:val="003B73C1"/>
    <w:rsid w:val="003C3049"/>
    <w:rsid w:val="003C3562"/>
    <w:rsid w:val="003C734F"/>
    <w:rsid w:val="003D1941"/>
    <w:rsid w:val="003D7FB4"/>
    <w:rsid w:val="003E755C"/>
    <w:rsid w:val="003F296C"/>
    <w:rsid w:val="00400646"/>
    <w:rsid w:val="004047DA"/>
    <w:rsid w:val="00405F10"/>
    <w:rsid w:val="00411234"/>
    <w:rsid w:val="00414EF7"/>
    <w:rsid w:val="0041509F"/>
    <w:rsid w:val="00431CAB"/>
    <w:rsid w:val="00434FEE"/>
    <w:rsid w:val="00441AE4"/>
    <w:rsid w:val="00443012"/>
    <w:rsid w:val="0044319A"/>
    <w:rsid w:val="004537DB"/>
    <w:rsid w:val="00453E9F"/>
    <w:rsid w:val="004551CA"/>
    <w:rsid w:val="00455EFF"/>
    <w:rsid w:val="00460841"/>
    <w:rsid w:val="00464646"/>
    <w:rsid w:val="00465AC6"/>
    <w:rsid w:val="00475B01"/>
    <w:rsid w:val="004771BA"/>
    <w:rsid w:val="00481EE0"/>
    <w:rsid w:val="00482FAC"/>
    <w:rsid w:val="004952F9"/>
    <w:rsid w:val="00496B3E"/>
    <w:rsid w:val="00496CA3"/>
    <w:rsid w:val="004A077E"/>
    <w:rsid w:val="004A4D88"/>
    <w:rsid w:val="004A5F17"/>
    <w:rsid w:val="004A7685"/>
    <w:rsid w:val="004B1614"/>
    <w:rsid w:val="004B3772"/>
    <w:rsid w:val="004C0D19"/>
    <w:rsid w:val="004C2582"/>
    <w:rsid w:val="004D0604"/>
    <w:rsid w:val="004D2090"/>
    <w:rsid w:val="004D6B9C"/>
    <w:rsid w:val="004E27E9"/>
    <w:rsid w:val="004E6067"/>
    <w:rsid w:val="00511413"/>
    <w:rsid w:val="0051212A"/>
    <w:rsid w:val="00512817"/>
    <w:rsid w:val="00512E07"/>
    <w:rsid w:val="00515C38"/>
    <w:rsid w:val="00516B09"/>
    <w:rsid w:val="00522C66"/>
    <w:rsid w:val="00526037"/>
    <w:rsid w:val="00526C22"/>
    <w:rsid w:val="0053106E"/>
    <w:rsid w:val="00535756"/>
    <w:rsid w:val="00541A8B"/>
    <w:rsid w:val="0054218F"/>
    <w:rsid w:val="005426E6"/>
    <w:rsid w:val="005547F1"/>
    <w:rsid w:val="00554A7C"/>
    <w:rsid w:val="0055660F"/>
    <w:rsid w:val="00557841"/>
    <w:rsid w:val="00557AF4"/>
    <w:rsid w:val="00560B74"/>
    <w:rsid w:val="005640EB"/>
    <w:rsid w:val="005655F7"/>
    <w:rsid w:val="00571530"/>
    <w:rsid w:val="00574364"/>
    <w:rsid w:val="005834CE"/>
    <w:rsid w:val="0058370D"/>
    <w:rsid w:val="00590133"/>
    <w:rsid w:val="00590B17"/>
    <w:rsid w:val="00596D2B"/>
    <w:rsid w:val="005A1F7A"/>
    <w:rsid w:val="005A3017"/>
    <w:rsid w:val="005A5AEC"/>
    <w:rsid w:val="005A74F3"/>
    <w:rsid w:val="005C4129"/>
    <w:rsid w:val="005C6397"/>
    <w:rsid w:val="005D6032"/>
    <w:rsid w:val="005E358C"/>
    <w:rsid w:val="005E722B"/>
    <w:rsid w:val="005F175A"/>
    <w:rsid w:val="005F284E"/>
    <w:rsid w:val="006001ED"/>
    <w:rsid w:val="00602992"/>
    <w:rsid w:val="00603D99"/>
    <w:rsid w:val="006112E3"/>
    <w:rsid w:val="0061174C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81F42"/>
    <w:rsid w:val="0068524D"/>
    <w:rsid w:val="0069037A"/>
    <w:rsid w:val="006946A9"/>
    <w:rsid w:val="006959BB"/>
    <w:rsid w:val="0069700D"/>
    <w:rsid w:val="00697BFB"/>
    <w:rsid w:val="006A37A7"/>
    <w:rsid w:val="006A3F2E"/>
    <w:rsid w:val="006C09BC"/>
    <w:rsid w:val="006C36D4"/>
    <w:rsid w:val="006C395A"/>
    <w:rsid w:val="006C4B2E"/>
    <w:rsid w:val="006C60BB"/>
    <w:rsid w:val="006C7AC3"/>
    <w:rsid w:val="006E0CBB"/>
    <w:rsid w:val="006E384B"/>
    <w:rsid w:val="006E4823"/>
    <w:rsid w:val="006E5D64"/>
    <w:rsid w:val="006F6C20"/>
    <w:rsid w:val="006F7DA9"/>
    <w:rsid w:val="007109D8"/>
    <w:rsid w:val="00722429"/>
    <w:rsid w:val="0072375C"/>
    <w:rsid w:val="00723BD5"/>
    <w:rsid w:val="0073541F"/>
    <w:rsid w:val="007471F8"/>
    <w:rsid w:val="007553E3"/>
    <w:rsid w:val="00757474"/>
    <w:rsid w:val="00761A5E"/>
    <w:rsid w:val="00770808"/>
    <w:rsid w:val="0078608E"/>
    <w:rsid w:val="00790422"/>
    <w:rsid w:val="00792278"/>
    <w:rsid w:val="0079495A"/>
    <w:rsid w:val="00797889"/>
    <w:rsid w:val="007A1EDA"/>
    <w:rsid w:val="007A3B38"/>
    <w:rsid w:val="007A4C9C"/>
    <w:rsid w:val="007B013F"/>
    <w:rsid w:val="007B33A7"/>
    <w:rsid w:val="007C1F19"/>
    <w:rsid w:val="007D19AB"/>
    <w:rsid w:val="008027AE"/>
    <w:rsid w:val="00806DEF"/>
    <w:rsid w:val="00806FA0"/>
    <w:rsid w:val="00811D7A"/>
    <w:rsid w:val="0082713B"/>
    <w:rsid w:val="00832C0E"/>
    <w:rsid w:val="008355E9"/>
    <w:rsid w:val="00836A9A"/>
    <w:rsid w:val="0084028C"/>
    <w:rsid w:val="008420AC"/>
    <w:rsid w:val="00842A59"/>
    <w:rsid w:val="008454C3"/>
    <w:rsid w:val="00850320"/>
    <w:rsid w:val="008605E2"/>
    <w:rsid w:val="00862B90"/>
    <w:rsid w:val="00866831"/>
    <w:rsid w:val="00867370"/>
    <w:rsid w:val="0087575A"/>
    <w:rsid w:val="0089045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8F20C0"/>
    <w:rsid w:val="00902BD0"/>
    <w:rsid w:val="009122E4"/>
    <w:rsid w:val="009123EC"/>
    <w:rsid w:val="00921CDF"/>
    <w:rsid w:val="009229B8"/>
    <w:rsid w:val="00926CB2"/>
    <w:rsid w:val="00932552"/>
    <w:rsid w:val="0093721A"/>
    <w:rsid w:val="00941B7F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A6108"/>
    <w:rsid w:val="009B451C"/>
    <w:rsid w:val="009B51D1"/>
    <w:rsid w:val="009B5C9A"/>
    <w:rsid w:val="009C30A4"/>
    <w:rsid w:val="009C6FAF"/>
    <w:rsid w:val="009D064B"/>
    <w:rsid w:val="009D28F8"/>
    <w:rsid w:val="009D6678"/>
    <w:rsid w:val="009D6F9A"/>
    <w:rsid w:val="009E16D3"/>
    <w:rsid w:val="009E5A5A"/>
    <w:rsid w:val="009F6DE0"/>
    <w:rsid w:val="00A0581E"/>
    <w:rsid w:val="00A100E0"/>
    <w:rsid w:val="00A202FC"/>
    <w:rsid w:val="00A2065B"/>
    <w:rsid w:val="00A2662F"/>
    <w:rsid w:val="00A462CB"/>
    <w:rsid w:val="00A5096E"/>
    <w:rsid w:val="00A53DA4"/>
    <w:rsid w:val="00A60E61"/>
    <w:rsid w:val="00A6460D"/>
    <w:rsid w:val="00A7147A"/>
    <w:rsid w:val="00A72437"/>
    <w:rsid w:val="00A7304A"/>
    <w:rsid w:val="00A74D6A"/>
    <w:rsid w:val="00A77801"/>
    <w:rsid w:val="00A80CC3"/>
    <w:rsid w:val="00A81895"/>
    <w:rsid w:val="00A82B22"/>
    <w:rsid w:val="00A87FA5"/>
    <w:rsid w:val="00A95CA4"/>
    <w:rsid w:val="00A97A2D"/>
    <w:rsid w:val="00AA185A"/>
    <w:rsid w:val="00AA38D9"/>
    <w:rsid w:val="00AA6240"/>
    <w:rsid w:val="00AB6419"/>
    <w:rsid w:val="00AB73C2"/>
    <w:rsid w:val="00AC3AD7"/>
    <w:rsid w:val="00AC49CF"/>
    <w:rsid w:val="00AC5A17"/>
    <w:rsid w:val="00AC5C90"/>
    <w:rsid w:val="00AC7811"/>
    <w:rsid w:val="00AE5DFB"/>
    <w:rsid w:val="00AE7E7E"/>
    <w:rsid w:val="00AF1D55"/>
    <w:rsid w:val="00AF3893"/>
    <w:rsid w:val="00AF6F7F"/>
    <w:rsid w:val="00AF7AA3"/>
    <w:rsid w:val="00AF7B80"/>
    <w:rsid w:val="00AF7BA8"/>
    <w:rsid w:val="00B02B8A"/>
    <w:rsid w:val="00B0627B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00ED"/>
    <w:rsid w:val="00B72163"/>
    <w:rsid w:val="00B72E39"/>
    <w:rsid w:val="00B800C1"/>
    <w:rsid w:val="00B80ED3"/>
    <w:rsid w:val="00B81CA2"/>
    <w:rsid w:val="00B8727A"/>
    <w:rsid w:val="00B9182D"/>
    <w:rsid w:val="00B922DA"/>
    <w:rsid w:val="00B94BEF"/>
    <w:rsid w:val="00B95D56"/>
    <w:rsid w:val="00B97ED5"/>
    <w:rsid w:val="00BA13A1"/>
    <w:rsid w:val="00BA4CDF"/>
    <w:rsid w:val="00BB1ACD"/>
    <w:rsid w:val="00BC6E91"/>
    <w:rsid w:val="00BD06FE"/>
    <w:rsid w:val="00BD4102"/>
    <w:rsid w:val="00BE13BC"/>
    <w:rsid w:val="00BE6D8D"/>
    <w:rsid w:val="00BF1160"/>
    <w:rsid w:val="00BF69AF"/>
    <w:rsid w:val="00C077BD"/>
    <w:rsid w:val="00C16113"/>
    <w:rsid w:val="00C170A3"/>
    <w:rsid w:val="00C212E3"/>
    <w:rsid w:val="00C21823"/>
    <w:rsid w:val="00C25FB8"/>
    <w:rsid w:val="00C33F26"/>
    <w:rsid w:val="00C34D64"/>
    <w:rsid w:val="00C36A04"/>
    <w:rsid w:val="00C377D4"/>
    <w:rsid w:val="00C4081C"/>
    <w:rsid w:val="00C4094C"/>
    <w:rsid w:val="00C4501C"/>
    <w:rsid w:val="00C45E80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03D9"/>
    <w:rsid w:val="00CA4C2B"/>
    <w:rsid w:val="00CB177A"/>
    <w:rsid w:val="00CC1B70"/>
    <w:rsid w:val="00CC4288"/>
    <w:rsid w:val="00CC5E13"/>
    <w:rsid w:val="00CD7605"/>
    <w:rsid w:val="00CE00F4"/>
    <w:rsid w:val="00CE0AC8"/>
    <w:rsid w:val="00CE2AAA"/>
    <w:rsid w:val="00CE3A24"/>
    <w:rsid w:val="00CF1266"/>
    <w:rsid w:val="00CF5D23"/>
    <w:rsid w:val="00D034C6"/>
    <w:rsid w:val="00D06875"/>
    <w:rsid w:val="00D07B84"/>
    <w:rsid w:val="00D11AB9"/>
    <w:rsid w:val="00D1617B"/>
    <w:rsid w:val="00D30629"/>
    <w:rsid w:val="00D41A33"/>
    <w:rsid w:val="00D53085"/>
    <w:rsid w:val="00D55AD6"/>
    <w:rsid w:val="00D56642"/>
    <w:rsid w:val="00D57B76"/>
    <w:rsid w:val="00D60E60"/>
    <w:rsid w:val="00D647EE"/>
    <w:rsid w:val="00D66A2A"/>
    <w:rsid w:val="00D7392C"/>
    <w:rsid w:val="00D85C8A"/>
    <w:rsid w:val="00D8655A"/>
    <w:rsid w:val="00D87BAA"/>
    <w:rsid w:val="00D909BB"/>
    <w:rsid w:val="00D90F48"/>
    <w:rsid w:val="00D92EB3"/>
    <w:rsid w:val="00D95BB8"/>
    <w:rsid w:val="00DA06AB"/>
    <w:rsid w:val="00DA4C42"/>
    <w:rsid w:val="00DA5091"/>
    <w:rsid w:val="00DB0B94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2D76"/>
    <w:rsid w:val="00E10653"/>
    <w:rsid w:val="00E169C0"/>
    <w:rsid w:val="00E17E60"/>
    <w:rsid w:val="00E20101"/>
    <w:rsid w:val="00E227A1"/>
    <w:rsid w:val="00E31E36"/>
    <w:rsid w:val="00E45188"/>
    <w:rsid w:val="00E47596"/>
    <w:rsid w:val="00E60612"/>
    <w:rsid w:val="00E615AE"/>
    <w:rsid w:val="00E661D3"/>
    <w:rsid w:val="00E6698D"/>
    <w:rsid w:val="00E70C20"/>
    <w:rsid w:val="00E81D02"/>
    <w:rsid w:val="00E8300D"/>
    <w:rsid w:val="00E87303"/>
    <w:rsid w:val="00E87475"/>
    <w:rsid w:val="00E908CC"/>
    <w:rsid w:val="00E93113"/>
    <w:rsid w:val="00E96FC8"/>
    <w:rsid w:val="00EA3F2C"/>
    <w:rsid w:val="00EA4AC8"/>
    <w:rsid w:val="00EA6A14"/>
    <w:rsid w:val="00EA6B30"/>
    <w:rsid w:val="00EB5B82"/>
    <w:rsid w:val="00EB6FC9"/>
    <w:rsid w:val="00EC173D"/>
    <w:rsid w:val="00EC7627"/>
    <w:rsid w:val="00EC7F8E"/>
    <w:rsid w:val="00ED2E5E"/>
    <w:rsid w:val="00ED3D63"/>
    <w:rsid w:val="00ED5C5E"/>
    <w:rsid w:val="00EE48BF"/>
    <w:rsid w:val="00EE6BBF"/>
    <w:rsid w:val="00EF476A"/>
    <w:rsid w:val="00EF4AA4"/>
    <w:rsid w:val="00EF5E65"/>
    <w:rsid w:val="00F06431"/>
    <w:rsid w:val="00F0690A"/>
    <w:rsid w:val="00F077E4"/>
    <w:rsid w:val="00F12189"/>
    <w:rsid w:val="00F20AA8"/>
    <w:rsid w:val="00F2470D"/>
    <w:rsid w:val="00F3187E"/>
    <w:rsid w:val="00F336A2"/>
    <w:rsid w:val="00F42036"/>
    <w:rsid w:val="00F478A5"/>
    <w:rsid w:val="00F50564"/>
    <w:rsid w:val="00F5518B"/>
    <w:rsid w:val="00F571CC"/>
    <w:rsid w:val="00F65EE2"/>
    <w:rsid w:val="00F66CA5"/>
    <w:rsid w:val="00F76628"/>
    <w:rsid w:val="00F811B7"/>
    <w:rsid w:val="00F825A2"/>
    <w:rsid w:val="00F9081C"/>
    <w:rsid w:val="00F90883"/>
    <w:rsid w:val="00F95766"/>
    <w:rsid w:val="00FA3286"/>
    <w:rsid w:val="00FC25F3"/>
    <w:rsid w:val="00FC49BC"/>
    <w:rsid w:val="00FD036B"/>
    <w:rsid w:val="00FD3337"/>
    <w:rsid w:val="00FD7B94"/>
    <w:rsid w:val="00FE395D"/>
    <w:rsid w:val="00FE3AC0"/>
    <w:rsid w:val="00FF638B"/>
    <w:rsid w:val="016E4B84"/>
    <w:rsid w:val="14C4731C"/>
    <w:rsid w:val="1FB01302"/>
    <w:rsid w:val="35C066EF"/>
    <w:rsid w:val="39C57D47"/>
    <w:rsid w:val="3B624EAF"/>
    <w:rsid w:val="40CA74B6"/>
    <w:rsid w:val="49C0335E"/>
    <w:rsid w:val="51E93CD6"/>
    <w:rsid w:val="5EF91919"/>
    <w:rsid w:val="61F5002F"/>
    <w:rsid w:val="63954AD5"/>
    <w:rsid w:val="665348E7"/>
    <w:rsid w:val="709C2859"/>
    <w:rsid w:val="763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0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semiHidden/>
    <w:qFormat/>
    <w:uiPriority w:val="99"/>
    <w:pPr>
      <w:jc w:val="left"/>
    </w:pPr>
    <w:rPr>
      <w:sz w:val="22"/>
    </w:rPr>
  </w:style>
  <w:style w:type="paragraph" w:styleId="7">
    <w:name w:val="Date"/>
    <w:basedOn w:val="1"/>
    <w:next w:val="1"/>
    <w:link w:val="2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annotation subject"/>
    <w:basedOn w:val="6"/>
    <w:next w:val="6"/>
    <w:link w:val="26"/>
    <w:semiHidden/>
    <w:qFormat/>
    <w:uiPriority w:val="99"/>
    <w:rPr>
      <w:b/>
      <w:bCs/>
    </w:rPr>
  </w:style>
  <w:style w:type="table" w:styleId="13">
    <w:name w:val="Table Grid"/>
    <w:basedOn w:val="1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semiHidden/>
    <w:qFormat/>
    <w:uiPriority w:val="99"/>
    <w:rPr>
      <w:rFonts w:cs="Times New Roman"/>
      <w:sz w:val="21"/>
    </w:rPr>
  </w:style>
  <w:style w:type="character" w:customStyle="1" w:styleId="17">
    <w:name w:val="标题 1 字符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8">
    <w:name w:val="标题 2 字符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9">
    <w:name w:val="标题 3 字符"/>
    <w:link w:val="4"/>
    <w:qFormat/>
    <w:locked/>
    <w:uiPriority w:val="99"/>
    <w:rPr>
      <w:rFonts w:cs="Times New Roman"/>
      <w:b/>
      <w:sz w:val="32"/>
    </w:rPr>
  </w:style>
  <w:style w:type="character" w:customStyle="1" w:styleId="20">
    <w:name w:val="标题 4 字符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21">
    <w:name w:val="页眉 字符"/>
    <w:link w:val="10"/>
    <w:semiHidden/>
    <w:qFormat/>
    <w:locked/>
    <w:uiPriority w:val="99"/>
    <w:rPr>
      <w:rFonts w:cs="Times New Roman"/>
      <w:sz w:val="18"/>
    </w:rPr>
  </w:style>
  <w:style w:type="character" w:customStyle="1" w:styleId="22">
    <w:name w:val="页脚 字符"/>
    <w:link w:val="9"/>
    <w:semiHidden/>
    <w:qFormat/>
    <w:locked/>
    <w:uiPriority w:val="99"/>
    <w:rPr>
      <w:rFonts w:cs="Times New Roman"/>
      <w:sz w:val="18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character" w:customStyle="1" w:styleId="24">
    <w:name w:val="日期 字符"/>
    <w:link w:val="7"/>
    <w:semiHidden/>
    <w:qFormat/>
    <w:locked/>
    <w:uiPriority w:val="99"/>
    <w:rPr>
      <w:rFonts w:cs="Times New Roman"/>
    </w:rPr>
  </w:style>
  <w:style w:type="character" w:customStyle="1" w:styleId="25">
    <w:name w:val="批注文字 字符"/>
    <w:link w:val="6"/>
    <w:semiHidden/>
    <w:qFormat/>
    <w:locked/>
    <w:uiPriority w:val="99"/>
    <w:rPr>
      <w:rFonts w:cs="Times New Roman"/>
      <w:kern w:val="2"/>
      <w:sz w:val="22"/>
    </w:rPr>
  </w:style>
  <w:style w:type="character" w:customStyle="1" w:styleId="26">
    <w:name w:val="批注主题 字符"/>
    <w:link w:val="11"/>
    <w:semiHidden/>
    <w:qFormat/>
    <w:locked/>
    <w:uiPriority w:val="99"/>
    <w:rPr>
      <w:rFonts w:cs="Times New Roman"/>
      <w:b/>
      <w:kern w:val="2"/>
      <w:sz w:val="22"/>
    </w:rPr>
  </w:style>
  <w:style w:type="character" w:customStyle="1" w:styleId="27">
    <w:name w:val="批注框文本 字符"/>
    <w:link w:val="8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185</Words>
  <Characters>1056</Characters>
  <Lines>8</Lines>
  <Paragraphs>2</Paragraphs>
  <TotalTime>8</TotalTime>
  <ScaleCrop>false</ScaleCrop>
  <LinksUpToDate>false</LinksUpToDate>
  <CharactersWithSpaces>1239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1</cp:lastModifiedBy>
  <cp:lastPrinted>2019-09-26T07:05:00Z</cp:lastPrinted>
  <dcterms:modified xsi:type="dcterms:W3CDTF">2025-10-22T08:06:11Z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