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项目采购需求</w:t>
      </w:r>
    </w:p>
    <w:p>
      <w:pPr>
        <w:widowControl/>
        <w:jc w:val="left"/>
        <w:rPr>
          <w:sz w:val="24"/>
        </w:rPr>
      </w:pPr>
      <w:r>
        <w:rPr>
          <w:rFonts w:hint="eastAsia"/>
          <w:b/>
          <w:sz w:val="24"/>
        </w:rPr>
        <w:t>一、项目基本情况</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1、项目名称：中山市中医院网络交换机采购项目</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项目内容：医院业务量增加，原有接入层网络交换机端口使用已达饱和、上行带宽不足，加上原来设备已经使用超过15年，老化严重，影响业务发展，为满足院方业务正常运行要求，现需采购一批网络交换机进行跟换扩容升级。</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3、项目预算：500000元</w:t>
      </w:r>
    </w:p>
    <w:p>
      <w:pPr>
        <w:spacing w:line="460" w:lineRule="atLeast"/>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4、供货期：60天</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5、报价：应包括硬件采购、安装调试、验收、培训、售后服务、各种税费及合同实施过程中的不可预见费用等。</w:t>
      </w:r>
    </w:p>
    <w:p>
      <w:pPr>
        <w:spacing w:line="360" w:lineRule="auto"/>
        <w:rPr>
          <w:b/>
          <w:sz w:val="24"/>
        </w:rPr>
      </w:pPr>
      <w:r>
        <w:rPr>
          <w:rFonts w:hint="eastAsia"/>
          <w:b/>
          <w:sz w:val="24"/>
        </w:rPr>
        <w:t>二、采购</w:t>
      </w:r>
      <w:r>
        <w:rPr>
          <w:b/>
          <w:sz w:val="24"/>
        </w:rPr>
        <w:t>清单</w:t>
      </w:r>
    </w:p>
    <w:tbl>
      <w:tblPr>
        <w:tblStyle w:val="10"/>
        <w:tblW w:w="8113" w:type="dxa"/>
        <w:jc w:val="center"/>
        <w:tblLayout w:type="fixed"/>
        <w:tblCellMar>
          <w:top w:w="0" w:type="dxa"/>
          <w:left w:w="108" w:type="dxa"/>
          <w:bottom w:w="0" w:type="dxa"/>
          <w:right w:w="108" w:type="dxa"/>
        </w:tblCellMar>
      </w:tblPr>
      <w:tblGrid>
        <w:gridCol w:w="638"/>
        <w:gridCol w:w="1746"/>
        <w:gridCol w:w="803"/>
        <w:gridCol w:w="4926"/>
      </w:tblGrid>
      <w:tr>
        <w:tblPrEx>
          <w:tblCellMar>
            <w:top w:w="0" w:type="dxa"/>
            <w:left w:w="108" w:type="dxa"/>
            <w:bottom w:w="0" w:type="dxa"/>
            <w:right w:w="108" w:type="dxa"/>
          </w:tblCellMar>
        </w:tblPrEx>
        <w:trPr>
          <w:trHeight w:val="51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序号</w:t>
            </w:r>
          </w:p>
        </w:tc>
        <w:tc>
          <w:tcPr>
            <w:tcW w:w="1746" w:type="dxa"/>
            <w:tcBorders>
              <w:top w:val="single" w:color="auto" w:sz="4" w:space="0"/>
              <w:left w:val="nil"/>
              <w:bottom w:val="single" w:color="auto" w:sz="4" w:space="0"/>
              <w:right w:val="single" w:color="auto" w:sz="4" w:space="0"/>
            </w:tcBorders>
            <w:vAlign w:val="center"/>
          </w:tcPr>
          <w:p>
            <w:pPr>
              <w:jc w:val="center"/>
              <w:rPr>
                <w:b/>
                <w:bCs/>
              </w:rPr>
            </w:pPr>
            <w:r>
              <w:rPr>
                <w:rFonts w:hint="eastAsia"/>
                <w:b/>
                <w:bCs/>
              </w:rPr>
              <w:t>名称</w:t>
            </w:r>
          </w:p>
        </w:tc>
        <w:tc>
          <w:tcPr>
            <w:tcW w:w="803" w:type="dxa"/>
            <w:tcBorders>
              <w:top w:val="single" w:color="auto" w:sz="4" w:space="0"/>
              <w:left w:val="nil"/>
              <w:bottom w:val="single" w:color="auto" w:sz="4" w:space="0"/>
              <w:right w:val="single" w:color="auto" w:sz="4" w:space="0"/>
            </w:tcBorders>
            <w:vAlign w:val="center"/>
          </w:tcPr>
          <w:p>
            <w:pPr>
              <w:jc w:val="center"/>
              <w:rPr>
                <w:b/>
                <w:bCs/>
              </w:rPr>
            </w:pPr>
            <w:r>
              <w:rPr>
                <w:rFonts w:hint="eastAsia"/>
                <w:b/>
                <w:bCs/>
              </w:rPr>
              <w:t>数量</w:t>
            </w:r>
          </w:p>
        </w:tc>
        <w:tc>
          <w:tcPr>
            <w:tcW w:w="4926" w:type="dxa"/>
            <w:tcBorders>
              <w:top w:val="single" w:color="auto" w:sz="4" w:space="0"/>
              <w:left w:val="nil"/>
              <w:bottom w:val="single" w:color="auto" w:sz="4" w:space="0"/>
              <w:right w:val="single" w:color="auto" w:sz="4" w:space="0"/>
            </w:tcBorders>
            <w:vAlign w:val="center"/>
          </w:tcPr>
          <w:p>
            <w:pPr>
              <w:jc w:val="center"/>
              <w:rPr>
                <w:b/>
                <w:bCs/>
              </w:rPr>
            </w:pPr>
            <w:r>
              <w:rPr>
                <w:rFonts w:hint="eastAsia" w:ascii="宋体" w:hAnsi="宋体" w:cs="宋体"/>
                <w:b/>
                <w:bCs/>
                <w:szCs w:val="21"/>
              </w:rPr>
              <w:t>主要技术参数</w:t>
            </w:r>
          </w:p>
        </w:tc>
      </w:tr>
      <w:tr>
        <w:tblPrEx>
          <w:tblCellMar>
            <w:top w:w="0" w:type="dxa"/>
            <w:left w:w="108" w:type="dxa"/>
            <w:bottom w:w="0" w:type="dxa"/>
            <w:right w:w="108" w:type="dxa"/>
          </w:tblCellMar>
        </w:tblPrEx>
        <w:trPr>
          <w:trHeight w:val="2240" w:hRule="atLeast"/>
          <w:jc w:val="center"/>
        </w:trPr>
        <w:tc>
          <w:tcPr>
            <w:tcW w:w="638" w:type="dxa"/>
            <w:tcBorders>
              <w:top w:val="nil"/>
              <w:left w:val="single" w:color="auto" w:sz="4" w:space="0"/>
              <w:bottom w:val="single" w:color="auto" w:sz="4" w:space="0"/>
              <w:right w:val="single" w:color="auto" w:sz="4" w:space="0"/>
            </w:tcBorders>
            <w:vAlign w:val="center"/>
          </w:tcPr>
          <w:p>
            <w:pPr>
              <w:ind w:firstLine="105" w:firstLineChars="50"/>
              <w:jc w:val="center"/>
            </w:pPr>
            <w:r>
              <w:rPr>
                <w:rFonts w:hint="eastAsia"/>
              </w:rPr>
              <w:t>1</w:t>
            </w:r>
          </w:p>
        </w:tc>
        <w:tc>
          <w:tcPr>
            <w:tcW w:w="1746" w:type="dxa"/>
            <w:tcBorders>
              <w:top w:val="nil"/>
              <w:left w:val="nil"/>
              <w:bottom w:val="single" w:color="auto" w:sz="4" w:space="0"/>
              <w:right w:val="single" w:color="auto" w:sz="4" w:space="0"/>
            </w:tcBorders>
            <w:vAlign w:val="center"/>
          </w:tcPr>
          <w:p>
            <w:pPr>
              <w:jc w:val="center"/>
            </w:pPr>
            <w:r>
              <w:rPr>
                <w:rFonts w:hint="eastAsia" w:ascii="宋体" w:hAnsi="宋体"/>
                <w:szCs w:val="21"/>
              </w:rPr>
              <w:t>网络接入交换机</w:t>
            </w:r>
          </w:p>
        </w:tc>
        <w:tc>
          <w:tcPr>
            <w:tcW w:w="803" w:type="dxa"/>
            <w:tcBorders>
              <w:top w:val="nil"/>
              <w:left w:val="nil"/>
              <w:bottom w:val="single" w:color="auto" w:sz="4" w:space="0"/>
              <w:right w:val="single" w:color="auto" w:sz="4" w:space="0"/>
            </w:tcBorders>
            <w:vAlign w:val="center"/>
          </w:tcPr>
          <w:p>
            <w:pPr>
              <w:jc w:val="center"/>
            </w:pPr>
            <w:r>
              <w:rPr>
                <w:rFonts w:hint="eastAsia"/>
              </w:rPr>
              <w:t>50台</w:t>
            </w:r>
          </w:p>
        </w:tc>
        <w:tc>
          <w:tcPr>
            <w:tcW w:w="4926" w:type="dxa"/>
            <w:tcBorders>
              <w:top w:val="nil"/>
              <w:left w:val="nil"/>
              <w:bottom w:val="single" w:color="auto" w:sz="4" w:space="0"/>
              <w:right w:val="single" w:color="auto" w:sz="4" w:space="0"/>
            </w:tcBorders>
            <w:vAlign w:val="center"/>
          </w:tcPr>
          <w:p>
            <w:pPr>
              <w:outlineLvl w:val="0"/>
              <w:rPr>
                <w:rFonts w:hint="eastAsia" w:ascii="宋体" w:hAnsi="宋体"/>
                <w:szCs w:val="21"/>
              </w:rPr>
            </w:pPr>
            <w:r>
              <w:rPr>
                <w:rFonts w:ascii="宋体" w:hAnsi="宋体"/>
                <w:szCs w:val="21"/>
              </w:rPr>
              <w:t>1</w:t>
            </w:r>
            <w:r>
              <w:rPr>
                <w:rFonts w:hint="eastAsia" w:ascii="宋体" w:hAnsi="宋体"/>
                <w:szCs w:val="21"/>
              </w:rPr>
              <w:t>.</w:t>
            </w:r>
            <w:r>
              <w:rPr>
                <w:rFonts w:ascii="宋体" w:hAnsi="宋体"/>
                <w:szCs w:val="21"/>
              </w:rPr>
              <w:t>采用模块化电源，电源支持热插拔；</w:t>
            </w:r>
          </w:p>
          <w:p>
            <w:pPr>
              <w:outlineLvl w:val="0"/>
              <w:rPr>
                <w:rFonts w:hint="eastAsia" w:ascii="宋体" w:hAnsi="宋体"/>
                <w:szCs w:val="21"/>
              </w:rPr>
            </w:pPr>
            <w:r>
              <w:rPr>
                <w:rFonts w:ascii="宋体" w:hAnsi="宋体"/>
                <w:szCs w:val="21"/>
              </w:rPr>
              <w:t>2</w:t>
            </w:r>
            <w:r>
              <w:rPr>
                <w:rFonts w:hint="eastAsia" w:ascii="宋体" w:hAnsi="宋体"/>
                <w:szCs w:val="21"/>
              </w:rPr>
              <w:t>.</w:t>
            </w:r>
            <w:r>
              <w:rPr>
                <w:rFonts w:ascii="宋体" w:hAnsi="宋体"/>
                <w:szCs w:val="21"/>
              </w:rPr>
              <w:t>交换容量</w:t>
            </w:r>
            <w:r>
              <w:rPr>
                <w:rFonts w:hint="eastAsia" w:ascii="宋体" w:hAnsi="宋体"/>
                <w:szCs w:val="21"/>
              </w:rPr>
              <w:t>≥688Gbps</w:t>
            </w:r>
            <w:r>
              <w:rPr>
                <w:rFonts w:ascii="宋体" w:hAnsi="宋体"/>
                <w:szCs w:val="21"/>
              </w:rPr>
              <w:t>，包转发率</w:t>
            </w:r>
            <w:r>
              <w:rPr>
                <w:rFonts w:hint="eastAsia" w:ascii="宋体" w:hAnsi="宋体"/>
                <w:szCs w:val="21"/>
              </w:rPr>
              <w:t>≥207Mpps</w:t>
            </w:r>
            <w:r>
              <w:rPr>
                <w:rFonts w:ascii="宋体" w:hAnsi="宋体"/>
                <w:szCs w:val="21"/>
              </w:rPr>
              <w:t>；</w:t>
            </w:r>
          </w:p>
          <w:p>
            <w:pPr>
              <w:outlineLvl w:val="0"/>
              <w:rPr>
                <w:rFonts w:hint="eastAsia" w:ascii="宋体" w:hAnsi="宋体"/>
                <w:szCs w:val="21"/>
              </w:rPr>
            </w:pPr>
            <w:r>
              <w:rPr>
                <w:rFonts w:ascii="宋体" w:hAnsi="宋体"/>
                <w:szCs w:val="21"/>
              </w:rPr>
              <w:t>3</w:t>
            </w:r>
            <w:r>
              <w:rPr>
                <w:rFonts w:hint="eastAsia" w:ascii="宋体" w:hAnsi="宋体"/>
                <w:szCs w:val="21"/>
              </w:rPr>
              <w:t>.</w:t>
            </w:r>
            <w:r>
              <w:rPr>
                <w:rFonts w:hint="eastAsia"/>
              </w:rPr>
              <w:t xml:space="preserve"> </w:t>
            </w:r>
            <w:r>
              <w:rPr>
                <w:rFonts w:hint="eastAsia" w:ascii="宋体" w:hAnsi="宋体"/>
                <w:szCs w:val="21"/>
              </w:rPr>
              <w:t>100/1000Base-T以太网口≥48个,</w:t>
            </w:r>
            <w:r>
              <w:rPr>
                <w:rFonts w:ascii="宋体" w:hAnsi="宋体"/>
                <w:szCs w:val="21"/>
              </w:rPr>
              <w:t>万兆接口</w:t>
            </w:r>
            <w:r>
              <w:rPr>
                <w:rFonts w:hint="eastAsia" w:ascii="宋体" w:hAnsi="宋体"/>
                <w:szCs w:val="21"/>
              </w:rPr>
              <w:t>≥6</w:t>
            </w:r>
            <w:r>
              <w:rPr>
                <w:rFonts w:ascii="宋体" w:hAnsi="宋体"/>
                <w:szCs w:val="21"/>
              </w:rPr>
              <w:t>个（含</w:t>
            </w:r>
            <w:r>
              <w:rPr>
                <w:rFonts w:hint="eastAsia" w:ascii="宋体" w:hAnsi="宋体"/>
                <w:szCs w:val="21"/>
              </w:rPr>
              <w:t>1条长度≥1.2m</w:t>
            </w:r>
            <w:r>
              <w:rPr>
                <w:rFonts w:hint="eastAsia" w:ascii="微软雅黑" w:hAnsi="微软雅黑" w:eastAsia="微软雅黑"/>
                <w:color w:val="333333"/>
                <w:szCs w:val="21"/>
                <w:shd w:val="clear" w:color="auto" w:fill="FFFFFF"/>
              </w:rPr>
              <w:t xml:space="preserve"> </w:t>
            </w:r>
            <w:r>
              <w:rPr>
                <w:rFonts w:hint="eastAsia" w:ascii="宋体" w:hAnsi="宋体"/>
                <w:szCs w:val="21"/>
              </w:rPr>
              <w:t>SFP+电缆</w:t>
            </w:r>
            <w:r>
              <w:rPr>
                <w:rFonts w:ascii="宋体" w:hAnsi="宋体"/>
                <w:szCs w:val="21"/>
              </w:rPr>
              <w:t>），</w:t>
            </w:r>
            <w:r>
              <w:rPr>
                <w:rFonts w:hint="eastAsia" w:ascii="宋体" w:hAnsi="宋体"/>
                <w:szCs w:val="21"/>
              </w:rPr>
              <w:t>2块</w:t>
            </w:r>
            <w:r>
              <w:rPr>
                <w:rFonts w:ascii="宋体" w:hAnsi="宋体"/>
                <w:szCs w:val="21"/>
              </w:rPr>
              <w:t>冗余模块化</w:t>
            </w:r>
            <w:r>
              <w:rPr>
                <w:rFonts w:hint="eastAsia" w:ascii="宋体" w:hAnsi="宋体"/>
                <w:szCs w:val="21"/>
              </w:rPr>
              <w:t>交流</w:t>
            </w:r>
            <w:r>
              <w:rPr>
                <w:rFonts w:ascii="宋体" w:hAnsi="宋体"/>
                <w:szCs w:val="21"/>
              </w:rPr>
              <w:t>电源</w:t>
            </w:r>
            <w:r>
              <w:rPr>
                <w:rFonts w:hint="eastAsia" w:ascii="宋体" w:hAnsi="宋体"/>
                <w:szCs w:val="21"/>
              </w:rPr>
              <w:t>，</w:t>
            </w:r>
            <w:r>
              <w:rPr>
                <w:rFonts w:ascii="宋体" w:hAnsi="宋体"/>
                <w:szCs w:val="21"/>
              </w:rPr>
              <w:t>；</w:t>
            </w:r>
          </w:p>
          <w:p>
            <w:pPr>
              <w:outlineLvl w:val="0"/>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支持静态路由、动态路由；支持IPv4和IPv6环境下的策略路由；支持IPV6等协议</w:t>
            </w:r>
            <w:r>
              <w:rPr>
                <w:rFonts w:hint="eastAsia" w:ascii="宋体" w:hAnsi="宋体"/>
                <w:szCs w:val="21"/>
              </w:rPr>
              <w:t>；支持802.1x认证，支持集中式MAC地址认证</w:t>
            </w:r>
            <w:r>
              <w:rPr>
                <w:rFonts w:ascii="宋体" w:hAnsi="宋体"/>
                <w:szCs w:val="21"/>
              </w:rPr>
              <w:t>；</w:t>
            </w:r>
          </w:p>
          <w:p>
            <w:pPr>
              <w:outlineLvl w:val="0"/>
              <w:rPr>
                <w:rFonts w:hint="eastAsia" w:ascii="宋体" w:hAnsi="宋体"/>
                <w:szCs w:val="21"/>
              </w:rPr>
            </w:pPr>
            <w:r>
              <w:rPr>
                <w:rFonts w:hint="eastAsia" w:ascii="宋体" w:hAnsi="宋体"/>
                <w:szCs w:val="21"/>
              </w:rPr>
              <w:t>5.整机最大MAC地址表≥32K，整机最大路由地址表≥12K，整机最大ARP地址表≥8K，提供第三方测试报告；最大堆叠台数&gt;=9台，支持完善的堆叠分裂检测机制，堆叠分裂后能自动完成MAC和IP地址的重配置，无需手动干预；</w:t>
            </w:r>
          </w:p>
          <w:p>
            <w:pPr>
              <w:outlineLvl w:val="0"/>
              <w:rPr>
                <w:rFonts w:hint="eastAsia" w:ascii="宋体" w:hAnsi="宋体"/>
                <w:szCs w:val="21"/>
              </w:rPr>
            </w:pPr>
            <w:r>
              <w:rPr>
                <w:rFonts w:hint="eastAsia" w:ascii="宋体" w:hAnsi="宋体"/>
                <w:szCs w:val="21"/>
              </w:rPr>
              <w:t>6.</w:t>
            </w:r>
            <w:r>
              <w:rPr>
                <w:rFonts w:ascii="宋体" w:hAnsi="宋体"/>
                <w:szCs w:val="21"/>
              </w:rPr>
              <w:t>支持融合</w:t>
            </w:r>
            <w:r>
              <w:rPr>
                <w:rFonts w:hint="eastAsia" w:ascii="宋体" w:hAnsi="宋体"/>
                <w:szCs w:val="21"/>
              </w:rPr>
              <w:t>院方现有IMC网管平台，满足集中管理和统一接入认证</w:t>
            </w:r>
            <w:r>
              <w:rPr>
                <w:rFonts w:ascii="宋体" w:hAnsi="宋体"/>
                <w:szCs w:val="21"/>
              </w:rPr>
              <w:t xml:space="preserve">； </w:t>
            </w:r>
          </w:p>
        </w:tc>
      </w:tr>
      <w:tr>
        <w:tblPrEx>
          <w:tblCellMar>
            <w:top w:w="0" w:type="dxa"/>
            <w:left w:w="108" w:type="dxa"/>
            <w:bottom w:w="0" w:type="dxa"/>
            <w:right w:w="108" w:type="dxa"/>
          </w:tblCellMar>
        </w:tblPrEx>
        <w:trPr>
          <w:trHeight w:val="1423" w:hRule="atLeast"/>
          <w:jc w:val="center"/>
        </w:trPr>
        <w:tc>
          <w:tcPr>
            <w:tcW w:w="638" w:type="dxa"/>
            <w:tcBorders>
              <w:top w:val="nil"/>
              <w:left w:val="single" w:color="auto" w:sz="4" w:space="0"/>
              <w:bottom w:val="single" w:color="auto" w:sz="4" w:space="0"/>
              <w:right w:val="single" w:color="auto" w:sz="4" w:space="0"/>
            </w:tcBorders>
            <w:vAlign w:val="center"/>
          </w:tcPr>
          <w:p>
            <w:pPr>
              <w:ind w:firstLine="105" w:firstLineChars="50"/>
              <w:jc w:val="center"/>
            </w:pPr>
            <w:r>
              <w:rPr>
                <w:rFonts w:hint="eastAsia"/>
              </w:rPr>
              <w:t>2</w:t>
            </w:r>
          </w:p>
        </w:tc>
        <w:tc>
          <w:tcPr>
            <w:tcW w:w="1746" w:type="dxa"/>
            <w:tcBorders>
              <w:top w:val="nil"/>
              <w:left w:val="nil"/>
              <w:bottom w:val="single" w:color="auto" w:sz="4" w:space="0"/>
              <w:right w:val="single" w:color="auto" w:sz="4" w:space="0"/>
            </w:tcBorders>
            <w:vAlign w:val="center"/>
          </w:tcPr>
          <w:p>
            <w:pPr>
              <w:jc w:val="center"/>
            </w:pPr>
            <w:r>
              <w:rPr>
                <w:rFonts w:hint="eastAsia"/>
              </w:rPr>
              <w:t>光模块</w:t>
            </w:r>
          </w:p>
        </w:tc>
        <w:tc>
          <w:tcPr>
            <w:tcW w:w="803" w:type="dxa"/>
            <w:tcBorders>
              <w:top w:val="nil"/>
              <w:left w:val="nil"/>
              <w:bottom w:val="single" w:color="auto" w:sz="4" w:space="0"/>
              <w:right w:val="single" w:color="auto" w:sz="4" w:space="0"/>
            </w:tcBorders>
            <w:vAlign w:val="center"/>
          </w:tcPr>
          <w:p>
            <w:pPr>
              <w:jc w:val="center"/>
            </w:pPr>
            <w:r>
              <w:rPr>
                <w:rFonts w:hint="eastAsia"/>
              </w:rPr>
              <w:t>100块</w:t>
            </w:r>
          </w:p>
        </w:tc>
        <w:tc>
          <w:tcPr>
            <w:tcW w:w="4926" w:type="dxa"/>
            <w:tcBorders>
              <w:top w:val="nil"/>
              <w:left w:val="nil"/>
              <w:bottom w:val="single" w:color="auto" w:sz="4" w:space="0"/>
              <w:right w:val="single" w:color="auto" w:sz="4" w:space="0"/>
            </w:tcBorders>
            <w:vAlign w:val="center"/>
          </w:tcPr>
          <w:p>
            <w:pPr>
              <w:pStyle w:val="20"/>
              <w:ind w:firstLine="0" w:firstLineChars="0"/>
              <w:outlineLvl w:val="0"/>
              <w:rPr>
                <w:rFonts w:hint="eastAsia" w:ascii="宋体" w:hAnsi="宋体"/>
                <w:szCs w:val="21"/>
              </w:rPr>
            </w:pPr>
            <w:r>
              <w:rPr>
                <w:rFonts w:hint="eastAsia" w:ascii="宋体" w:hAnsi="宋体" w:cs="宋体"/>
                <w:bCs/>
                <w:szCs w:val="21"/>
              </w:rPr>
              <w:t>1</w:t>
            </w:r>
            <w:r>
              <w:rPr>
                <w:rFonts w:ascii="宋体" w:hAnsi="宋体" w:cs="宋体"/>
                <w:bCs/>
                <w:szCs w:val="21"/>
              </w:rPr>
              <w:t>.</w:t>
            </w:r>
            <w:r>
              <w:rPr>
                <w:rFonts w:hint="eastAsia" w:ascii="宋体" w:hAnsi="宋体" w:cs="宋体"/>
                <w:bCs/>
                <w:szCs w:val="21"/>
              </w:rPr>
              <w:t>与</w:t>
            </w:r>
            <w:r>
              <w:rPr>
                <w:rFonts w:hint="eastAsia" w:ascii="宋体" w:hAnsi="宋体"/>
                <w:szCs w:val="21"/>
              </w:rPr>
              <w:t>网络接入交换机为同一品牌原厂正品SFP+万兆光模块；</w:t>
            </w:r>
          </w:p>
          <w:p>
            <w:pPr>
              <w:pStyle w:val="20"/>
              <w:ind w:firstLine="0" w:firstLineChars="0"/>
              <w:outlineLvl w:val="0"/>
              <w:rPr>
                <w:rFonts w:hint="eastAsia" w:ascii="宋体" w:hAnsi="宋体" w:cs="宋体"/>
                <w:bCs/>
                <w:szCs w:val="21"/>
              </w:rPr>
            </w:pPr>
            <w:r>
              <w:rPr>
                <w:rFonts w:hint="eastAsia" w:ascii="宋体" w:hAnsi="宋体" w:cs="宋体"/>
                <w:bCs/>
                <w:szCs w:val="21"/>
              </w:rPr>
              <w:t>2</w:t>
            </w:r>
            <w:r>
              <w:rPr>
                <w:rFonts w:ascii="宋体" w:hAnsi="宋体" w:cs="宋体"/>
                <w:bCs/>
                <w:szCs w:val="21"/>
              </w:rPr>
              <w:t>.</w:t>
            </w:r>
            <w:r>
              <w:rPr>
                <w:rFonts w:hint="eastAsia" w:ascii="宋体" w:hAnsi="宋体" w:cs="宋体"/>
                <w:bCs/>
                <w:szCs w:val="21"/>
              </w:rPr>
              <w:t xml:space="preserve">中心波长：850nm，最大传输距离：2公里，接口连接器类型：LC </w:t>
            </w:r>
          </w:p>
        </w:tc>
      </w:tr>
      <w:tr>
        <w:tblPrEx>
          <w:tblCellMar>
            <w:top w:w="0" w:type="dxa"/>
            <w:left w:w="108" w:type="dxa"/>
            <w:bottom w:w="0" w:type="dxa"/>
            <w:right w:w="108" w:type="dxa"/>
          </w:tblCellMar>
        </w:tblPrEx>
        <w:trPr>
          <w:trHeight w:val="834" w:hRule="atLeast"/>
          <w:jc w:val="center"/>
        </w:trPr>
        <w:tc>
          <w:tcPr>
            <w:tcW w:w="638" w:type="dxa"/>
            <w:tcBorders>
              <w:top w:val="nil"/>
              <w:left w:val="single" w:color="auto" w:sz="4" w:space="0"/>
              <w:bottom w:val="single" w:color="auto" w:sz="4" w:space="0"/>
              <w:right w:val="single" w:color="auto" w:sz="4" w:space="0"/>
            </w:tcBorders>
            <w:vAlign w:val="center"/>
          </w:tcPr>
          <w:p>
            <w:pPr>
              <w:ind w:firstLine="105" w:firstLineChars="50"/>
              <w:jc w:val="center"/>
            </w:pPr>
            <w:r>
              <w:rPr>
                <w:rFonts w:hint="eastAsia"/>
              </w:rPr>
              <w:t>3</w:t>
            </w:r>
          </w:p>
        </w:tc>
        <w:tc>
          <w:tcPr>
            <w:tcW w:w="1746" w:type="dxa"/>
            <w:tcBorders>
              <w:top w:val="nil"/>
              <w:left w:val="nil"/>
              <w:bottom w:val="single" w:color="auto" w:sz="4" w:space="0"/>
              <w:right w:val="single" w:color="auto" w:sz="4" w:space="0"/>
            </w:tcBorders>
            <w:vAlign w:val="center"/>
          </w:tcPr>
          <w:p>
            <w:pPr>
              <w:jc w:val="center"/>
            </w:pPr>
            <w:r>
              <w:rPr>
                <w:rFonts w:hint="eastAsia" w:ascii="宋体" w:hAnsi="宋体"/>
                <w:szCs w:val="21"/>
              </w:rPr>
              <w:t>万兆光纤跳线</w:t>
            </w:r>
          </w:p>
        </w:tc>
        <w:tc>
          <w:tcPr>
            <w:tcW w:w="803" w:type="dxa"/>
            <w:tcBorders>
              <w:top w:val="nil"/>
              <w:left w:val="nil"/>
              <w:bottom w:val="single" w:color="auto" w:sz="4" w:space="0"/>
              <w:right w:val="single" w:color="auto" w:sz="4" w:space="0"/>
            </w:tcBorders>
            <w:vAlign w:val="center"/>
          </w:tcPr>
          <w:p>
            <w:pPr>
              <w:jc w:val="center"/>
            </w:pPr>
            <w:r>
              <w:rPr>
                <w:rFonts w:hint="eastAsia"/>
              </w:rPr>
              <w:t>100对</w:t>
            </w:r>
          </w:p>
        </w:tc>
        <w:tc>
          <w:tcPr>
            <w:tcW w:w="4926" w:type="dxa"/>
            <w:tcBorders>
              <w:top w:val="nil"/>
              <w:left w:val="nil"/>
              <w:bottom w:val="single" w:color="auto" w:sz="4" w:space="0"/>
              <w:right w:val="single" w:color="auto" w:sz="4" w:space="0"/>
            </w:tcBorders>
            <w:vAlign w:val="center"/>
          </w:tcPr>
          <w:p>
            <w:pPr>
              <w:spacing w:line="320" w:lineRule="exact"/>
              <w:outlineLvl w:val="0"/>
              <w:rPr>
                <w:rFonts w:hint="eastAsia" w:ascii="宋体" w:hAnsi="宋体"/>
                <w:szCs w:val="21"/>
              </w:rPr>
            </w:pPr>
            <w:r>
              <w:rPr>
                <w:rFonts w:hint="eastAsia" w:ascii="宋体" w:hAnsi="宋体"/>
                <w:szCs w:val="21"/>
              </w:rPr>
              <w:t>3</w:t>
            </w:r>
            <w:r>
              <w:rPr>
                <w:rFonts w:ascii="宋体" w:hAnsi="宋体"/>
                <w:szCs w:val="21"/>
              </w:rPr>
              <w:t>米</w:t>
            </w:r>
            <w:r>
              <w:rPr>
                <w:rFonts w:hint="eastAsia" w:ascii="宋体" w:hAnsi="宋体"/>
                <w:szCs w:val="21"/>
              </w:rPr>
              <w:t>LC-LC</w:t>
            </w:r>
            <w:r>
              <w:rPr>
                <w:rFonts w:ascii="宋体" w:hAnsi="宋体"/>
                <w:szCs w:val="21"/>
              </w:rPr>
              <w:t>万兆</w:t>
            </w:r>
            <w:r>
              <w:rPr>
                <w:rFonts w:hint="eastAsia" w:ascii="宋体" w:hAnsi="宋体"/>
                <w:szCs w:val="21"/>
              </w:rPr>
              <w:t>多</w:t>
            </w:r>
            <w:r>
              <w:rPr>
                <w:rFonts w:ascii="宋体" w:hAnsi="宋体"/>
                <w:szCs w:val="21"/>
              </w:rPr>
              <w:t>模光纤跳线</w:t>
            </w:r>
            <w:r>
              <w:rPr>
                <w:rFonts w:hint="eastAsia" w:ascii="宋体" w:hAnsi="宋体"/>
                <w:szCs w:val="21"/>
              </w:rPr>
              <w:t>；</w:t>
            </w:r>
          </w:p>
        </w:tc>
      </w:tr>
    </w:tbl>
    <w:p>
      <w:pPr>
        <w:spacing w:line="360" w:lineRule="auto"/>
        <w:rPr>
          <w:b/>
          <w:sz w:val="24"/>
        </w:rPr>
      </w:pPr>
    </w:p>
    <w:p>
      <w:pPr>
        <w:spacing w:line="360" w:lineRule="auto"/>
        <w:rPr>
          <w:rFonts w:hint="eastAsia"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质量要求</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pPr>
        <w:spacing w:line="460" w:lineRule="atLeas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5、供</w:t>
      </w:r>
      <w:r>
        <w:rPr>
          <w:rFonts w:asciiTheme="minorEastAsia" w:hAnsiTheme="minorEastAsia" w:eastAsiaTheme="minorEastAsia"/>
          <w:color w:val="000000"/>
          <w:szCs w:val="21"/>
        </w:rPr>
        <w:t>应商需承诺</w:t>
      </w:r>
      <w:r>
        <w:rPr>
          <w:rFonts w:hint="eastAsia" w:cs="宋体" w:asciiTheme="minorEastAsia" w:hAnsiTheme="minorEastAsia" w:eastAsiaTheme="minorEastAsia"/>
          <w:szCs w:val="21"/>
        </w:rPr>
        <w:t>所提供硬件能完全兼容适配现有服务器等</w:t>
      </w:r>
      <w:r>
        <w:rPr>
          <w:rFonts w:cs="宋体" w:asciiTheme="minorEastAsia" w:hAnsiTheme="minorEastAsia" w:eastAsiaTheme="minorEastAsia"/>
          <w:szCs w:val="21"/>
        </w:rPr>
        <w:t>设备。</w:t>
      </w:r>
    </w:p>
    <w:p>
      <w:pPr>
        <w:widowControl/>
        <w:spacing w:line="360" w:lineRule="auto"/>
        <w:jc w:val="left"/>
        <w:rPr>
          <w:b/>
          <w:sz w:val="24"/>
        </w:rPr>
      </w:pPr>
    </w:p>
    <w:p>
      <w:pPr>
        <w:widowControl/>
        <w:spacing w:line="360" w:lineRule="auto"/>
        <w:ind w:left="2048" w:hanging="2048"/>
        <w:jc w:val="left"/>
        <w:rPr>
          <w:b/>
          <w:sz w:val="24"/>
        </w:rPr>
      </w:pPr>
      <w:r>
        <w:rPr>
          <w:rFonts w:hint="eastAsia"/>
          <w:b/>
          <w:sz w:val="24"/>
        </w:rPr>
        <w:t>四、服务要求</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本项目存在新设备替换在线老设备、新老设备并行、老设备作为扩展端口挂接在新设备上等多种情况，供应商须负责进行旧机下线、拆除、新机调试安装上线、新老设备同时并网等多种情况工作，安装过程最大程度减少对现有业务影响</w:t>
      </w:r>
      <w:r>
        <w:rPr>
          <w:rFonts w:asciiTheme="minorEastAsia" w:hAnsiTheme="minorEastAsia" w:eastAsiaTheme="minorEastAsia"/>
          <w:color w:val="000000"/>
          <w:szCs w:val="21"/>
        </w:rPr>
        <w:t>。</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、设备进行替换、并网前必须进行详细评估，初次作业前进行演练，经采购人确认后方可进行后续作业</w:t>
      </w:r>
      <w:r>
        <w:rPr>
          <w:rFonts w:asciiTheme="minorEastAsia" w:hAnsiTheme="minorEastAsia" w:eastAsiaTheme="minorEastAsia"/>
          <w:color w:val="000000"/>
          <w:szCs w:val="21"/>
        </w:rPr>
        <w:t>。</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、设备替换、并网后需要对设备安装机柜内接入网线、光纤进行有序整理，按采购人要求规范粘贴标签，旧设备进行清理后继续并网运行或搬运到客户指定地点存放。</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配合</w:t>
      </w:r>
      <w:r>
        <w:rPr>
          <w:rFonts w:hint="eastAsia" w:asciiTheme="minorEastAsia" w:hAnsiTheme="minorEastAsia" w:eastAsiaTheme="minorEastAsia"/>
          <w:color w:val="000000"/>
          <w:szCs w:val="21"/>
        </w:rPr>
        <w:t>采购人完成新设备在</w:t>
      </w:r>
      <w:r>
        <w:rPr>
          <w:rFonts w:asciiTheme="minorEastAsia" w:hAnsiTheme="minorEastAsia" w:eastAsiaTheme="minorEastAsia"/>
          <w:color w:val="000000"/>
          <w:szCs w:val="21"/>
        </w:rPr>
        <w:t>医院</w:t>
      </w:r>
      <w:r>
        <w:rPr>
          <w:rFonts w:hint="eastAsia" w:asciiTheme="minorEastAsia" w:hAnsiTheme="minorEastAsia" w:eastAsiaTheme="minorEastAsia"/>
          <w:color w:val="000000"/>
          <w:szCs w:val="21"/>
        </w:rPr>
        <w:t>网管系统</w:t>
      </w:r>
      <w:r>
        <w:rPr>
          <w:rFonts w:asciiTheme="minorEastAsia" w:hAnsiTheme="minorEastAsia" w:eastAsiaTheme="minorEastAsia"/>
          <w:color w:val="000000"/>
          <w:szCs w:val="21"/>
        </w:rPr>
        <w:t>上部署</w:t>
      </w:r>
      <w:r>
        <w:rPr>
          <w:rFonts w:hint="eastAsia" w:asciiTheme="minorEastAsia" w:hAnsiTheme="minorEastAsia" w:eastAsiaTheme="minorEastAsia"/>
          <w:color w:val="000000"/>
          <w:szCs w:val="21"/>
        </w:rPr>
        <w:t>集中管控及接入认证功能。</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、配合完成相应安全策略，满足采购人在网络安全方面统一管理部署要求。</w:t>
      </w:r>
    </w:p>
    <w:p>
      <w:pPr>
        <w:widowControl/>
        <w:spacing w:line="360" w:lineRule="auto"/>
        <w:ind w:left="2048" w:hanging="2048"/>
        <w:jc w:val="left"/>
        <w:rPr>
          <w:b/>
          <w:sz w:val="24"/>
        </w:rPr>
      </w:pPr>
    </w:p>
    <w:p>
      <w:pPr>
        <w:widowControl/>
        <w:spacing w:line="360" w:lineRule="auto"/>
        <w:ind w:left="2048" w:hanging="2048"/>
        <w:jc w:val="left"/>
        <w:rPr>
          <w:b/>
          <w:sz w:val="24"/>
        </w:rPr>
      </w:pPr>
      <w:r>
        <w:rPr>
          <w:rFonts w:hint="eastAsia"/>
          <w:b/>
          <w:sz w:val="24"/>
        </w:rPr>
        <w:t>五、售后服务</w:t>
      </w:r>
    </w:p>
    <w:p>
      <w:pPr>
        <w:spacing w:line="360" w:lineRule="auto"/>
        <w:rPr>
          <w:rFonts w:hint="eastAsia"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lang w:eastAsia="zh-CN"/>
        </w:rPr>
        <w:t>项目质保期不少于三年</w:t>
      </w:r>
      <w:r>
        <w:rPr>
          <w:rFonts w:hint="eastAsia" w:asciiTheme="minorEastAsia" w:hAnsiTheme="minorEastAsia" w:eastAsiaTheme="minorEastAsia"/>
        </w:rPr>
        <w:t>，若国家或生产厂家对本项目所涉及货物质量保证期的规定高于本项目的要求，应按国家或生产厂家的规定执行。</w:t>
      </w:r>
    </w:p>
    <w:p>
      <w:pPr>
        <w:spacing w:line="360" w:lineRule="auto"/>
        <w:rPr>
          <w:rFonts w:hint="eastAsia"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w:t>
      </w:r>
      <w:r>
        <w:rPr>
          <w:rFonts w:hint="eastAsia" w:cs="宋体" w:asciiTheme="minorEastAsia" w:hAnsiTheme="minorEastAsia" w:eastAsiaTheme="minorEastAsia"/>
          <w:szCs w:val="21"/>
          <w:lang w:eastAsia="zh-CN"/>
        </w:rPr>
        <w:t>质保期</w:t>
      </w:r>
      <w:r>
        <w:rPr>
          <w:rFonts w:hint="eastAsia" w:cs="宋体" w:asciiTheme="minorEastAsia" w:hAnsiTheme="minorEastAsia" w:eastAsiaTheme="minorEastAsia"/>
          <w:szCs w:val="21"/>
        </w:rPr>
        <w:t>内，</w:t>
      </w:r>
      <w:r>
        <w:rPr>
          <w:rFonts w:hint="eastAsia" w:cs="宋体" w:asciiTheme="minorEastAsia" w:hAnsiTheme="minorEastAsia" w:eastAsiaTheme="minorEastAsia"/>
          <w:szCs w:val="21"/>
          <w:lang w:eastAsia="zh-CN"/>
        </w:rPr>
        <w:t>供应商</w:t>
      </w:r>
      <w:r>
        <w:rPr>
          <w:rFonts w:hint="eastAsia" w:cs="宋体" w:asciiTheme="minorEastAsia" w:hAnsiTheme="minorEastAsia" w:eastAsiaTheme="minorEastAsia"/>
          <w:szCs w:val="21"/>
        </w:rPr>
        <w:t>提供技术支持和指导，故障情况下的现场问题解决，包括但不限于兼容性问题的微码升级、固件升级等。</w:t>
      </w: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w:t>
      </w:r>
      <w:r>
        <w:rPr>
          <w:rFonts w:cs="宋体" w:asciiTheme="minorEastAsia" w:hAnsiTheme="minorEastAsia" w:eastAsiaTheme="minorEastAsia"/>
          <w:szCs w:val="21"/>
        </w:rPr>
        <w:t>在</w:t>
      </w:r>
      <w:r>
        <w:rPr>
          <w:rFonts w:hint="eastAsia" w:cs="宋体" w:asciiTheme="minorEastAsia" w:hAnsiTheme="minorEastAsia" w:eastAsiaTheme="minorEastAsia"/>
          <w:szCs w:val="21"/>
        </w:rPr>
        <w:t>质保</w:t>
      </w:r>
      <w:r>
        <w:rPr>
          <w:rFonts w:cs="宋体" w:asciiTheme="minorEastAsia" w:hAnsiTheme="minorEastAsia" w:eastAsiaTheme="minorEastAsia"/>
          <w:szCs w:val="21"/>
        </w:rPr>
        <w:t>期内，供应商响应时间</w:t>
      </w:r>
      <w:r>
        <w:rPr>
          <w:rFonts w:hint="eastAsia" w:cs="宋体" w:asciiTheme="minorEastAsia" w:hAnsiTheme="minorEastAsia" w:eastAsiaTheme="minorEastAsia"/>
          <w:szCs w:val="21"/>
        </w:rPr>
        <w:t>为30分</w:t>
      </w:r>
      <w:r>
        <w:rPr>
          <w:rFonts w:cs="宋体" w:asciiTheme="minorEastAsia" w:hAnsiTheme="minorEastAsia" w:eastAsiaTheme="minorEastAsia"/>
          <w:szCs w:val="21"/>
        </w:rPr>
        <w:t>钟</w:t>
      </w:r>
      <w:r>
        <w:rPr>
          <w:rFonts w:hint="eastAsia" w:cs="宋体" w:asciiTheme="minorEastAsia" w:hAnsiTheme="minorEastAsia" w:eastAsiaTheme="minorEastAsia"/>
          <w:szCs w:val="21"/>
        </w:rPr>
        <w:t>内</w:t>
      </w:r>
      <w:r>
        <w:rPr>
          <w:rFonts w:cs="宋体" w:asciiTheme="minorEastAsia" w:hAnsiTheme="minorEastAsia" w:eastAsiaTheme="minorEastAsia"/>
          <w:szCs w:val="21"/>
        </w:rPr>
        <w:t>，到达现场时间为1</w:t>
      </w:r>
      <w:r>
        <w:rPr>
          <w:rFonts w:hint="eastAsia" w:cs="宋体" w:asciiTheme="minorEastAsia" w:hAnsiTheme="minorEastAsia" w:eastAsiaTheme="minorEastAsia"/>
          <w:szCs w:val="21"/>
        </w:rPr>
        <w:t>小时内</w:t>
      </w:r>
      <w:r>
        <w:rPr>
          <w:rFonts w:cs="宋体" w:asciiTheme="minorEastAsia" w:hAnsiTheme="minorEastAsia" w:eastAsiaTheme="minorEastAsia"/>
          <w:szCs w:val="21"/>
        </w:rPr>
        <w:t>，</w:t>
      </w:r>
      <w:r>
        <w:rPr>
          <w:rFonts w:hint="eastAsia" w:cs="宋体" w:asciiTheme="minorEastAsia" w:hAnsiTheme="minorEastAsia" w:eastAsiaTheme="minorEastAsia"/>
          <w:szCs w:val="21"/>
        </w:rPr>
        <w:t>并</w:t>
      </w:r>
      <w:r>
        <w:rPr>
          <w:rFonts w:cs="宋体" w:asciiTheme="minorEastAsia" w:hAnsiTheme="minorEastAsia" w:eastAsiaTheme="minorEastAsia"/>
          <w:szCs w:val="21"/>
        </w:rPr>
        <w:t>需在2</w:t>
      </w:r>
      <w:r>
        <w:rPr>
          <w:rFonts w:hint="eastAsia" w:cs="宋体" w:asciiTheme="minorEastAsia" w:hAnsiTheme="minorEastAsia" w:eastAsiaTheme="minorEastAsia"/>
          <w:szCs w:val="21"/>
        </w:rPr>
        <w:t>小时</w:t>
      </w:r>
      <w:r>
        <w:rPr>
          <w:rFonts w:cs="宋体" w:asciiTheme="minorEastAsia" w:hAnsiTheme="minorEastAsia" w:eastAsiaTheme="minorEastAsia"/>
          <w:szCs w:val="21"/>
        </w:rPr>
        <w:t>内</w:t>
      </w:r>
      <w:r>
        <w:rPr>
          <w:rFonts w:hint="eastAsia" w:cs="宋体" w:asciiTheme="minorEastAsia" w:hAnsiTheme="minorEastAsia" w:eastAsiaTheme="minorEastAsia"/>
          <w:szCs w:val="21"/>
        </w:rPr>
        <w:t>解决</w:t>
      </w:r>
      <w:r>
        <w:rPr>
          <w:rFonts w:cs="宋体" w:asciiTheme="minorEastAsia" w:hAnsiTheme="minorEastAsia" w:eastAsiaTheme="minorEastAsia"/>
          <w:szCs w:val="21"/>
        </w:rPr>
        <w:t>故障</w:t>
      </w:r>
      <w:r>
        <w:rPr>
          <w:rFonts w:hint="eastAsia" w:cs="宋体" w:asciiTheme="minorEastAsia" w:hAnsiTheme="minorEastAsia" w:eastAsiaTheme="minorEastAsia"/>
          <w:szCs w:val="21"/>
        </w:rPr>
        <w:t>；如果不能解决故障，则需提供相同规格的产品作为代用品。</w:t>
      </w: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5、供应商需上门进行安装及技术支持，</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以现场服务为主，其它电话指导、邮件指导、远程维护、技术交流等</w:t>
      </w:r>
      <w:r>
        <w:rPr>
          <w:rFonts w:cs="宋体" w:asciiTheme="minorEastAsia" w:hAnsiTheme="minorEastAsia" w:eastAsiaTheme="minorEastAsia"/>
          <w:szCs w:val="21"/>
        </w:rPr>
        <w:t>服务</w:t>
      </w:r>
      <w:r>
        <w:rPr>
          <w:rFonts w:hint="eastAsia" w:cs="宋体" w:asciiTheme="minorEastAsia" w:hAnsiTheme="minorEastAsia" w:eastAsiaTheme="minorEastAsia"/>
          <w:szCs w:val="21"/>
        </w:rPr>
        <w:t>方式不限。</w:t>
      </w: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6、</w:t>
      </w:r>
      <w:r>
        <w:rPr>
          <w:rFonts w:hint="eastAsia" w:ascii="宋体" w:hAnsi="宋体"/>
          <w:szCs w:val="21"/>
        </w:rPr>
        <w:t>在质保期内，供应商免费提供每年不少于四次现场巡检服务，检查设备运行健康状态，及时排查隐患。</w:t>
      </w:r>
    </w:p>
    <w:p>
      <w:pPr>
        <w:widowControl/>
        <w:spacing w:line="360" w:lineRule="auto"/>
        <w:jc w:val="left"/>
        <w:rPr>
          <w:b/>
          <w:sz w:val="24"/>
        </w:rPr>
      </w:pPr>
    </w:p>
    <w:p>
      <w:pPr>
        <w:widowControl/>
        <w:spacing w:line="384" w:lineRule="auto"/>
        <w:jc w:val="left"/>
        <w:rPr>
          <w:sz w:val="24"/>
        </w:rPr>
      </w:pPr>
      <w:r>
        <w:rPr>
          <w:rFonts w:hint="eastAsia"/>
          <w:b/>
          <w:sz w:val="24"/>
          <w:lang w:eastAsia="zh-CN"/>
        </w:rPr>
        <w:t>六</w:t>
      </w:r>
      <w:r>
        <w:rPr>
          <w:rFonts w:hint="eastAsia"/>
          <w:b/>
          <w:sz w:val="24"/>
        </w:rPr>
        <w:t>、验收与结算</w:t>
      </w:r>
    </w:p>
    <w:p>
      <w:pPr>
        <w:spacing w:line="360" w:lineRule="auto"/>
        <w:rPr>
          <w:rFonts w:hint="eastAsia"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rPr>
          <w:rFonts w:hint="eastAsia"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spacing w:line="360" w:lineRule="auto"/>
        <w:rPr>
          <w:rFonts w:hint="eastAsia"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spacing w:line="360" w:lineRule="auto"/>
        <w:rPr>
          <w:rFonts w:hint="eastAsia"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w:t>
      </w:r>
      <w:bookmarkStart w:id="0" w:name="_GoBack"/>
      <w:bookmarkEnd w:id="0"/>
      <w:r>
        <w:rPr>
          <w:rFonts w:hint="eastAsia" w:asciiTheme="minorEastAsia" w:hAnsiTheme="minorEastAsia" w:eastAsiaTheme="minorEastAsia"/>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zODU0MjAwOWUxMThhZjYxMGI0NTJhNTUzOGIwOTIifQ=="/>
  </w:docVars>
  <w:rsids>
    <w:rsidRoot w:val="006E384B"/>
    <w:rsid w:val="00003A55"/>
    <w:rsid w:val="00012E8F"/>
    <w:rsid w:val="000156C9"/>
    <w:rsid w:val="000211E6"/>
    <w:rsid w:val="00026BFE"/>
    <w:rsid w:val="00033EBD"/>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A6544"/>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251D"/>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5155"/>
    <w:rsid w:val="00267BB1"/>
    <w:rsid w:val="00271584"/>
    <w:rsid w:val="00272615"/>
    <w:rsid w:val="00272D96"/>
    <w:rsid w:val="00275A7F"/>
    <w:rsid w:val="0028001A"/>
    <w:rsid w:val="002852D0"/>
    <w:rsid w:val="002919AD"/>
    <w:rsid w:val="00292DD7"/>
    <w:rsid w:val="002945AA"/>
    <w:rsid w:val="002A3784"/>
    <w:rsid w:val="002B613F"/>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0AC6"/>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43AF6"/>
    <w:rsid w:val="00554A7C"/>
    <w:rsid w:val="005558FF"/>
    <w:rsid w:val="0055660F"/>
    <w:rsid w:val="00556D00"/>
    <w:rsid w:val="00557841"/>
    <w:rsid w:val="00557AF4"/>
    <w:rsid w:val="0056193E"/>
    <w:rsid w:val="00567AE1"/>
    <w:rsid w:val="005705AD"/>
    <w:rsid w:val="005817C6"/>
    <w:rsid w:val="005834CE"/>
    <w:rsid w:val="00590133"/>
    <w:rsid w:val="00590B17"/>
    <w:rsid w:val="005960AC"/>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4E5C"/>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0FE2"/>
    <w:rsid w:val="007321A9"/>
    <w:rsid w:val="00743E57"/>
    <w:rsid w:val="00744AFD"/>
    <w:rsid w:val="007471F8"/>
    <w:rsid w:val="007510B3"/>
    <w:rsid w:val="007515AD"/>
    <w:rsid w:val="0075628B"/>
    <w:rsid w:val="00761A5E"/>
    <w:rsid w:val="00774CF0"/>
    <w:rsid w:val="00783D5E"/>
    <w:rsid w:val="00786F4C"/>
    <w:rsid w:val="00790422"/>
    <w:rsid w:val="00797CEC"/>
    <w:rsid w:val="007A07C9"/>
    <w:rsid w:val="007A1306"/>
    <w:rsid w:val="007A1A44"/>
    <w:rsid w:val="007A4C9C"/>
    <w:rsid w:val="007B06EB"/>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8F7EBB"/>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187F"/>
    <w:rsid w:val="00A32576"/>
    <w:rsid w:val="00A33FC6"/>
    <w:rsid w:val="00A34BCA"/>
    <w:rsid w:val="00A42BC7"/>
    <w:rsid w:val="00A42DF2"/>
    <w:rsid w:val="00A47B03"/>
    <w:rsid w:val="00A51097"/>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3EE2"/>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67BE6"/>
    <w:rsid w:val="00C72B03"/>
    <w:rsid w:val="00C739AE"/>
    <w:rsid w:val="00C7534D"/>
    <w:rsid w:val="00C90330"/>
    <w:rsid w:val="00C9688E"/>
    <w:rsid w:val="00C96F33"/>
    <w:rsid w:val="00C97302"/>
    <w:rsid w:val="00CA0B00"/>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CF69E7"/>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424E"/>
    <w:rsid w:val="00EC60F4"/>
    <w:rsid w:val="00EC7627"/>
    <w:rsid w:val="00EC77DA"/>
    <w:rsid w:val="00EC7F8E"/>
    <w:rsid w:val="00ED1670"/>
    <w:rsid w:val="00ED2E5E"/>
    <w:rsid w:val="00ED62C1"/>
    <w:rsid w:val="00ED6496"/>
    <w:rsid w:val="00ED6A69"/>
    <w:rsid w:val="00ED791B"/>
    <w:rsid w:val="00EE3EBA"/>
    <w:rsid w:val="00EE48BF"/>
    <w:rsid w:val="00EE6BBF"/>
    <w:rsid w:val="00EF1D99"/>
    <w:rsid w:val="00EF4AA4"/>
    <w:rsid w:val="00EF5861"/>
    <w:rsid w:val="00F023FE"/>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2CBB"/>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D7B94"/>
    <w:rsid w:val="00FE395D"/>
    <w:rsid w:val="00FE3AC0"/>
    <w:rsid w:val="00FE4547"/>
    <w:rsid w:val="00FF21C2"/>
    <w:rsid w:val="00FF5903"/>
    <w:rsid w:val="00FF638B"/>
    <w:rsid w:val="308E426C"/>
    <w:rsid w:val="33202FF1"/>
    <w:rsid w:val="3547008D"/>
    <w:rsid w:val="381F7624"/>
    <w:rsid w:val="46F77C05"/>
    <w:rsid w:val="5C7727E9"/>
    <w:rsid w:val="61960834"/>
    <w:rsid w:val="699975F0"/>
    <w:rsid w:val="73A23CF3"/>
    <w:rsid w:val="74014D3F"/>
    <w:rsid w:val="798053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uiPriority w:val="99"/>
    <w:pPr>
      <w:tabs>
        <w:tab w:val="center" w:pos="4153"/>
        <w:tab w:val="right" w:pos="8306"/>
      </w:tabs>
      <w:snapToGrid w:val="0"/>
      <w:jc w:val="left"/>
    </w:pPr>
    <w:rPr>
      <w:sz w:val="18"/>
      <w:szCs w:val="18"/>
    </w:rPr>
  </w:style>
  <w:style w:type="paragraph" w:styleId="8">
    <w:name w:val="header"/>
    <w:basedOn w:val="1"/>
    <w:link w:val="19"/>
    <w:semiHidden/>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qFormat/>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customStyle="1" w:styleId="20">
    <w:name w:val="List Paragraph"/>
    <w:basedOn w:val="1"/>
    <w:qFormat/>
    <w:uiPriority w:val="99"/>
    <w:pPr>
      <w:ind w:firstLine="420" w:firstLineChars="200"/>
    </w:pPr>
  </w:style>
  <w:style w:type="character" w:customStyle="1" w:styleId="21">
    <w:name w:val="font41"/>
    <w:basedOn w:val="12"/>
    <w:qFormat/>
    <w:uiPriority w:val="0"/>
    <w:rPr>
      <w:rFonts w:ascii="Calibri" w:hAnsi="Calibri" w:cs="Calibri"/>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281</Words>
  <Characters>1603</Characters>
  <Lines>13</Lines>
  <Paragraphs>3</Paragraphs>
  <TotalTime>0</TotalTime>
  <ScaleCrop>false</ScaleCrop>
  <LinksUpToDate>false</LinksUpToDate>
  <CharactersWithSpaces>1881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2025-10-23T09:15:00Z</dcterms:created>
  <dc:creator>sssra</dc:creator>
  <cp:lastModifiedBy>1</cp:lastModifiedBy>
  <cp:lastPrinted>2023-12-14T10:29:00Z</cp:lastPrinted>
  <dcterms:modified xsi:type="dcterms:W3CDTF">2025-10-24T02:24:56Z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2C75BE3C294C4FBD99F1D1892FDCF162</vt:lpwstr>
  </property>
</Properties>
</file>