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EB1FB0">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20"/>
        <w:jc w:val="left"/>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一、设备名称、型号：</w:t>
      </w:r>
    </w:p>
    <w:p w14:paraId="7C2B01E5">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20"/>
        <w:jc w:val="left"/>
        <w:textAlignment w:val="auto"/>
        <w:rPr>
          <w:rFonts w:hint="eastAsia"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医科达医用直线加速器 Ele</w:t>
      </w:r>
      <w:bookmarkStart w:id="0" w:name="_GoBack"/>
      <w:bookmarkEnd w:id="0"/>
      <w:r>
        <w:rPr>
          <w:rFonts w:hint="eastAsia" w:ascii="宋体" w:hAnsi="宋体" w:eastAsia="宋体" w:cs="宋体"/>
          <w:color w:val="000000"/>
          <w:kern w:val="0"/>
          <w:sz w:val="28"/>
          <w:szCs w:val="28"/>
          <w:lang w:val="en-US" w:eastAsia="zh-CN"/>
        </w:rPr>
        <w:t>kta Synergy</w:t>
      </w:r>
    </w:p>
    <w:p w14:paraId="5DC9851C">
      <w:pPr>
        <w:keepNext w:val="0"/>
        <w:keepLines w:val="0"/>
        <w:pageBreakBefore w:val="0"/>
        <w:widowControl/>
        <w:numPr>
          <w:ilvl w:val="0"/>
          <w:numId w:val="1"/>
        </w:numPr>
        <w:kinsoku/>
        <w:wordWrap/>
        <w:overflowPunct/>
        <w:topLinePunct w:val="0"/>
        <w:autoSpaceDE/>
        <w:autoSpaceDN/>
        <w:bidi w:val="0"/>
        <w:adjustRightInd/>
        <w:snapToGrid/>
        <w:spacing w:before="100" w:beforeAutospacing="1" w:after="100" w:afterAutospacing="1" w:line="360" w:lineRule="auto"/>
        <w:ind w:firstLine="420"/>
        <w:jc w:val="left"/>
        <w:textAlignment w:val="auto"/>
        <w:rPr>
          <w:rFonts w:hint="eastAsia" w:ascii="宋体" w:hAnsi="宋体" w:eastAsia="宋体" w:cs="宋体"/>
          <w:color w:val="000000"/>
          <w:kern w:val="0"/>
          <w:sz w:val="28"/>
          <w:szCs w:val="28"/>
        </w:rPr>
      </w:pPr>
      <w:r>
        <w:rPr>
          <w:rFonts w:hint="eastAsia" w:ascii="宋体" w:hAnsi="宋体" w:eastAsia="宋体" w:cs="宋体"/>
          <w:b/>
          <w:bCs/>
          <w:color w:val="000000"/>
          <w:kern w:val="0"/>
          <w:sz w:val="28"/>
          <w:szCs w:val="28"/>
        </w:rPr>
        <w:t>预算：</w:t>
      </w:r>
      <w:r>
        <w:rPr>
          <w:rFonts w:hint="eastAsia" w:ascii="宋体" w:hAnsi="宋体" w:eastAsia="宋体" w:cs="宋体"/>
          <w:color w:val="000000"/>
          <w:kern w:val="0"/>
          <w:sz w:val="28"/>
          <w:szCs w:val="28"/>
          <w:lang w:val="en-US" w:eastAsia="zh-CN"/>
        </w:rPr>
        <w:t>150</w:t>
      </w:r>
      <w:r>
        <w:rPr>
          <w:rFonts w:hint="eastAsia" w:ascii="宋体" w:hAnsi="宋体" w:eastAsia="宋体" w:cs="宋体"/>
          <w:color w:val="000000"/>
          <w:kern w:val="0"/>
          <w:sz w:val="28"/>
          <w:szCs w:val="28"/>
        </w:rPr>
        <w:t>万元，全保服务三年。</w:t>
      </w:r>
    </w:p>
    <w:p w14:paraId="2E686B38">
      <w:pPr>
        <w:keepNext w:val="0"/>
        <w:keepLines w:val="0"/>
        <w:pageBreakBefore w:val="0"/>
        <w:widowControl/>
        <w:kinsoku/>
        <w:wordWrap/>
        <w:overflowPunct/>
        <w:topLinePunct w:val="0"/>
        <w:autoSpaceDE/>
        <w:autoSpaceDN/>
        <w:bidi w:val="0"/>
        <w:adjustRightInd/>
        <w:snapToGrid/>
        <w:spacing w:before="100" w:beforeAutospacing="1" w:after="100" w:afterAutospacing="1" w:line="360" w:lineRule="auto"/>
        <w:ind w:firstLine="420"/>
        <w:jc w:val="left"/>
        <w:textAlignment w:val="auto"/>
        <w:rPr>
          <w:rFonts w:hint="eastAsia" w:ascii="宋体" w:hAnsi="宋体" w:eastAsia="宋体" w:cs="宋体"/>
          <w:b/>
          <w:bCs/>
          <w:color w:val="000000"/>
          <w:kern w:val="0"/>
          <w:sz w:val="28"/>
          <w:szCs w:val="28"/>
        </w:rPr>
      </w:pPr>
      <w:r>
        <w:rPr>
          <w:rFonts w:hint="eastAsia" w:ascii="宋体" w:hAnsi="宋体" w:eastAsia="宋体" w:cs="宋体"/>
          <w:b/>
          <w:bCs/>
          <w:color w:val="000000"/>
          <w:kern w:val="0"/>
          <w:sz w:val="28"/>
          <w:szCs w:val="28"/>
        </w:rPr>
        <w:t>三、服务基本要求：</w:t>
      </w:r>
    </w:p>
    <w:p w14:paraId="72FA6AE4">
      <w:pPr>
        <w:keepNext w:val="0"/>
        <w:keepLines w:val="0"/>
        <w:pageBreakBefore w:val="0"/>
        <w:widowControl/>
        <w:numPr>
          <w:ilvl w:val="0"/>
          <w:numId w:val="2"/>
        </w:numPr>
        <w:kinsoku/>
        <w:wordWrap/>
        <w:overflowPunct/>
        <w:topLinePunct w:val="0"/>
        <w:autoSpaceDE/>
        <w:autoSpaceDN/>
        <w:bidi w:val="0"/>
        <w:adjustRightInd/>
        <w:snapToGrid/>
        <w:spacing w:before="100" w:beforeAutospacing="1" w:after="100" w:afterAutospacing="1" w:line="360" w:lineRule="auto"/>
        <w:ind w:left="0" w:leftChars="0" w:firstLine="415" w:firstLineChars="0"/>
        <w:jc w:val="left"/>
        <w:textAlignment w:val="auto"/>
        <w:rPr>
          <w:rFonts w:hint="eastAsia" w:ascii="宋体" w:hAnsi="宋体" w:eastAsia="宋体" w:cs="宋体"/>
          <w:color w:val="000000"/>
          <w:kern w:val="0"/>
          <w:sz w:val="28"/>
          <w:szCs w:val="28"/>
          <w:highlight w:val="none"/>
          <w:lang w:eastAsia="zh-CN"/>
        </w:rPr>
      </w:pPr>
      <w:r>
        <w:rPr>
          <w:rFonts w:hint="eastAsia" w:ascii="宋体" w:hAnsi="宋体" w:eastAsia="宋体" w:cs="宋体"/>
          <w:color w:val="000000"/>
          <w:kern w:val="0"/>
          <w:sz w:val="28"/>
          <w:szCs w:val="28"/>
          <w:lang w:eastAsia="zh-CN"/>
        </w:rPr>
        <w:t>维保范围：</w:t>
      </w:r>
      <w:r>
        <w:rPr>
          <w:rFonts w:hint="eastAsia" w:ascii="宋体" w:hAnsi="宋体" w:eastAsia="宋体" w:cs="宋体"/>
          <w:color w:val="000000"/>
          <w:kern w:val="0"/>
          <w:sz w:val="28"/>
          <w:szCs w:val="28"/>
          <w:lang w:val="en-US" w:eastAsia="zh-CN"/>
        </w:rPr>
        <w:t>医科达Synergy直线</w:t>
      </w:r>
      <w:r>
        <w:rPr>
          <w:rFonts w:hint="eastAsia" w:ascii="宋体" w:hAnsi="宋体" w:eastAsia="宋体" w:cs="宋体"/>
          <w:color w:val="000000"/>
          <w:kern w:val="0"/>
          <w:sz w:val="28"/>
          <w:szCs w:val="28"/>
          <w:lang w:eastAsia="zh-CN"/>
        </w:rPr>
        <w:t>加速器主机(序号154391 ) 、iViewGT</w:t>
      </w:r>
      <w:r>
        <w:rPr>
          <w:rFonts w:hint="eastAsia" w:ascii="宋体" w:hAnsi="宋体" w:eastAsia="宋体" w:cs="宋体"/>
          <w:color w:val="000000"/>
          <w:kern w:val="0"/>
          <w:sz w:val="28"/>
          <w:szCs w:val="28"/>
          <w:lang w:val="en-US" w:eastAsia="zh-CN"/>
        </w:rPr>
        <w:t>系统</w:t>
      </w:r>
      <w:r>
        <w:rPr>
          <w:rFonts w:hint="eastAsia" w:ascii="宋体" w:hAnsi="宋体" w:eastAsia="宋体" w:cs="宋体"/>
          <w:color w:val="000000"/>
          <w:kern w:val="0"/>
          <w:sz w:val="28"/>
          <w:szCs w:val="28"/>
          <w:lang w:eastAsia="zh-CN"/>
        </w:rPr>
        <w:t>、XVI系统、水冷系统、MOSAIQ</w:t>
      </w:r>
      <w:r>
        <w:rPr>
          <w:rFonts w:hint="eastAsia" w:ascii="宋体" w:hAnsi="宋体" w:eastAsia="宋体" w:cs="宋体"/>
          <w:color w:val="000000"/>
          <w:kern w:val="0"/>
          <w:sz w:val="28"/>
          <w:szCs w:val="28"/>
          <w:lang w:val="en-US" w:eastAsia="zh-CN"/>
        </w:rPr>
        <w:t>网络信息</w:t>
      </w:r>
      <w:r>
        <w:rPr>
          <w:rFonts w:hint="eastAsia" w:ascii="宋体" w:hAnsi="宋体" w:eastAsia="宋体" w:cs="宋体"/>
          <w:color w:val="000000"/>
          <w:kern w:val="0"/>
          <w:sz w:val="28"/>
          <w:szCs w:val="28"/>
          <w:lang w:eastAsia="zh-CN"/>
        </w:rPr>
        <w:t>系统软硬件、Monaco治疗计划系统软硬件、</w:t>
      </w:r>
      <w:r>
        <w:rPr>
          <w:rFonts w:hint="eastAsia" w:ascii="宋体" w:hAnsi="宋体" w:eastAsia="宋体" w:cs="宋体"/>
          <w:color w:val="000000"/>
          <w:kern w:val="0"/>
          <w:sz w:val="28"/>
          <w:szCs w:val="28"/>
          <w:highlight w:val="none"/>
          <w:lang w:val="en-US" w:eastAsia="zh-CN"/>
        </w:rPr>
        <w:t>加速器主机控制柜</w:t>
      </w:r>
      <w:r>
        <w:rPr>
          <w:rFonts w:hint="eastAsia" w:ascii="宋体" w:hAnsi="宋体" w:eastAsia="宋体" w:cs="宋体"/>
          <w:color w:val="000000"/>
          <w:kern w:val="0"/>
          <w:sz w:val="28"/>
          <w:szCs w:val="28"/>
          <w:highlight w:val="none"/>
          <w:lang w:eastAsia="zh-CN"/>
        </w:rPr>
        <w:t>更换升级；</w:t>
      </w:r>
      <w:r>
        <w:rPr>
          <w:rFonts w:hint="eastAsia" w:ascii="宋体" w:hAnsi="宋体" w:eastAsia="宋体" w:cs="宋体"/>
          <w:color w:val="000000"/>
          <w:kern w:val="0"/>
          <w:sz w:val="28"/>
          <w:szCs w:val="28"/>
          <w:highlight w:val="none"/>
          <w:lang w:val="en-US" w:eastAsia="zh-CN"/>
        </w:rPr>
        <w:t>水平</w:t>
      </w:r>
      <w:r>
        <w:rPr>
          <w:rFonts w:hint="eastAsia" w:ascii="宋体" w:hAnsi="宋体" w:eastAsia="宋体" w:cs="宋体"/>
          <w:color w:val="000000"/>
          <w:kern w:val="0"/>
          <w:sz w:val="28"/>
          <w:szCs w:val="28"/>
          <w:highlight w:val="none"/>
          <w:lang w:eastAsia="zh-CN"/>
        </w:rPr>
        <w:t>剂量仪</w:t>
      </w:r>
      <w:r>
        <w:rPr>
          <w:rFonts w:hint="eastAsia" w:ascii="宋体" w:hAnsi="宋体" w:eastAsia="宋体" w:cs="宋体"/>
          <w:color w:val="000000"/>
          <w:kern w:val="0"/>
          <w:sz w:val="28"/>
          <w:szCs w:val="28"/>
          <w:highlight w:val="none"/>
          <w:lang w:val="en-US" w:eastAsia="zh-CN"/>
        </w:rPr>
        <w:t>1台</w:t>
      </w:r>
      <w:r>
        <w:rPr>
          <w:rFonts w:hint="eastAsia" w:ascii="宋体" w:hAnsi="宋体" w:eastAsia="宋体" w:cs="宋体"/>
          <w:color w:val="000000"/>
          <w:kern w:val="0"/>
          <w:sz w:val="28"/>
          <w:szCs w:val="28"/>
          <w:highlight w:val="none"/>
          <w:lang w:eastAsia="zh-CN"/>
        </w:rPr>
        <w:t>、</w:t>
      </w:r>
      <w:r>
        <w:rPr>
          <w:rFonts w:hint="eastAsia" w:ascii="宋体" w:hAnsi="宋体" w:eastAsia="宋体" w:cs="宋体"/>
          <w:color w:val="000000"/>
          <w:kern w:val="0"/>
          <w:sz w:val="28"/>
          <w:szCs w:val="28"/>
          <w:highlight w:val="none"/>
          <w:lang w:val="en-US" w:eastAsia="zh-CN"/>
        </w:rPr>
        <w:t>巡检仪1台、温度计1台、气压计1台，个人剂量报警仪2台等质控设备</w:t>
      </w:r>
      <w:r>
        <w:rPr>
          <w:rFonts w:hint="eastAsia" w:ascii="宋体" w:hAnsi="宋体" w:eastAsia="宋体" w:cs="宋体"/>
          <w:color w:val="000000"/>
          <w:kern w:val="0"/>
          <w:sz w:val="28"/>
          <w:szCs w:val="28"/>
          <w:highlight w:val="none"/>
          <w:lang w:eastAsia="zh-CN"/>
        </w:rPr>
        <w:t>每年度</w:t>
      </w:r>
      <w:r>
        <w:rPr>
          <w:rFonts w:hint="eastAsia" w:ascii="宋体" w:hAnsi="宋体" w:eastAsia="宋体" w:cs="宋体"/>
          <w:color w:val="000000"/>
          <w:kern w:val="0"/>
          <w:sz w:val="28"/>
          <w:szCs w:val="28"/>
          <w:highlight w:val="none"/>
          <w:lang w:val="en-US" w:eastAsia="zh-CN"/>
        </w:rPr>
        <w:t>负责送官方检测机构</w:t>
      </w:r>
      <w:r>
        <w:rPr>
          <w:rFonts w:hint="eastAsia" w:ascii="宋体" w:hAnsi="宋体" w:eastAsia="宋体" w:cs="宋体"/>
          <w:color w:val="000000"/>
          <w:kern w:val="0"/>
          <w:sz w:val="28"/>
          <w:szCs w:val="28"/>
          <w:highlight w:val="none"/>
          <w:lang w:eastAsia="zh-CN"/>
        </w:rPr>
        <w:t>校准</w:t>
      </w:r>
      <w:r>
        <w:rPr>
          <w:rFonts w:hint="eastAsia" w:ascii="宋体" w:hAnsi="宋体" w:eastAsia="宋体" w:cs="宋体"/>
          <w:color w:val="000000"/>
          <w:kern w:val="0"/>
          <w:sz w:val="28"/>
          <w:szCs w:val="28"/>
          <w:highlight w:val="none"/>
          <w:lang w:val="en-US" w:eastAsia="zh-CN"/>
        </w:rPr>
        <w:t>并出具校准报告</w:t>
      </w:r>
      <w:r>
        <w:rPr>
          <w:rFonts w:hint="eastAsia" w:ascii="宋体" w:hAnsi="宋体" w:eastAsia="宋体" w:cs="宋体"/>
          <w:color w:val="000000"/>
          <w:kern w:val="0"/>
          <w:sz w:val="28"/>
          <w:szCs w:val="28"/>
          <w:highlight w:val="none"/>
          <w:lang w:eastAsia="zh-CN"/>
        </w:rPr>
        <w:t>。</w:t>
      </w:r>
    </w:p>
    <w:p w14:paraId="720C3B97">
      <w:pPr>
        <w:keepNext w:val="0"/>
        <w:keepLines w:val="0"/>
        <w:pageBreakBefore w:val="0"/>
        <w:widowControl/>
        <w:numPr>
          <w:ilvl w:val="0"/>
          <w:numId w:val="2"/>
        </w:numPr>
        <w:kinsoku/>
        <w:wordWrap/>
        <w:overflowPunct/>
        <w:topLinePunct w:val="0"/>
        <w:autoSpaceDE/>
        <w:autoSpaceDN/>
        <w:bidi w:val="0"/>
        <w:adjustRightInd/>
        <w:snapToGrid/>
        <w:spacing w:before="100" w:beforeAutospacing="1" w:after="100" w:afterAutospacing="1" w:line="360" w:lineRule="auto"/>
        <w:ind w:left="0" w:leftChars="0" w:firstLine="415" w:firstLineChars="0"/>
        <w:jc w:val="left"/>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eastAsia="zh-CN"/>
        </w:rPr>
        <w:t>中标人能合法获得使用在有效期内的原厂故障诊断软件诊断维修钥匙，并保证不违反国家有关知识产权的法律规定。</w:t>
      </w:r>
    </w:p>
    <w:p w14:paraId="06DD14B2">
      <w:pPr>
        <w:keepNext w:val="0"/>
        <w:keepLines w:val="0"/>
        <w:pageBreakBefore w:val="0"/>
        <w:widowControl/>
        <w:numPr>
          <w:ilvl w:val="0"/>
          <w:numId w:val="2"/>
        </w:numPr>
        <w:kinsoku/>
        <w:wordWrap/>
        <w:overflowPunct/>
        <w:topLinePunct w:val="0"/>
        <w:autoSpaceDE/>
        <w:autoSpaceDN/>
        <w:bidi w:val="0"/>
        <w:adjustRightInd/>
        <w:snapToGrid/>
        <w:spacing w:before="100" w:beforeAutospacing="1" w:after="100" w:afterAutospacing="1" w:line="360" w:lineRule="auto"/>
        <w:ind w:left="0" w:leftChars="0" w:firstLine="415" w:firstLineChars="0"/>
        <w:jc w:val="left"/>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eastAsia="zh-CN"/>
        </w:rPr>
        <w:t>维保期内免费提供设备的系统软件和硬件的安全性改版升级和技术支持，并保证所有系统软件为适用于本合同涉及的所有设备使用的最新版本。</w:t>
      </w:r>
    </w:p>
    <w:p w14:paraId="3BBDBD7F">
      <w:pPr>
        <w:keepNext w:val="0"/>
        <w:keepLines w:val="0"/>
        <w:pageBreakBefore w:val="0"/>
        <w:widowControl/>
        <w:numPr>
          <w:ilvl w:val="0"/>
          <w:numId w:val="2"/>
        </w:numPr>
        <w:kinsoku/>
        <w:wordWrap/>
        <w:overflowPunct/>
        <w:topLinePunct w:val="0"/>
        <w:autoSpaceDE/>
        <w:autoSpaceDN/>
        <w:bidi w:val="0"/>
        <w:adjustRightInd/>
        <w:snapToGrid/>
        <w:spacing w:before="100" w:beforeAutospacing="1" w:after="100" w:afterAutospacing="1" w:line="360" w:lineRule="auto"/>
        <w:ind w:left="0" w:leftChars="0" w:firstLine="415" w:firstLineChars="0"/>
        <w:jc w:val="left"/>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eastAsia="zh-CN"/>
        </w:rPr>
        <w:t>保证所保设备全年工作日的开机率至少达到95%以上，按照一年365个工作日计算</w:t>
      </w:r>
    </w:p>
    <w:p w14:paraId="2B4F00AB">
      <w:pPr>
        <w:keepNext w:val="0"/>
        <w:keepLines w:val="0"/>
        <w:pageBreakBefore w:val="0"/>
        <w:widowControl/>
        <w:numPr>
          <w:ilvl w:val="0"/>
          <w:numId w:val="2"/>
        </w:numPr>
        <w:kinsoku/>
        <w:wordWrap/>
        <w:overflowPunct/>
        <w:topLinePunct w:val="0"/>
        <w:autoSpaceDE/>
        <w:autoSpaceDN/>
        <w:bidi w:val="0"/>
        <w:adjustRightInd/>
        <w:snapToGrid/>
        <w:spacing w:before="100" w:beforeAutospacing="1" w:after="100" w:afterAutospacing="1" w:line="360" w:lineRule="auto"/>
        <w:ind w:left="0" w:leftChars="0" w:firstLine="415" w:firstLineChars="0"/>
        <w:jc w:val="left"/>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eastAsia="zh-CN"/>
        </w:rPr>
        <w:t>提供7*24小时免费服务热线；责任工程师远程维修、提供技术支持、维修网络、电话、传真、邮件等。</w:t>
      </w:r>
    </w:p>
    <w:p w14:paraId="6013F725">
      <w:pPr>
        <w:keepNext w:val="0"/>
        <w:keepLines w:val="0"/>
        <w:pageBreakBefore w:val="0"/>
        <w:widowControl/>
        <w:numPr>
          <w:ilvl w:val="0"/>
          <w:numId w:val="2"/>
        </w:numPr>
        <w:kinsoku/>
        <w:wordWrap/>
        <w:overflowPunct/>
        <w:topLinePunct w:val="0"/>
        <w:autoSpaceDE/>
        <w:autoSpaceDN/>
        <w:bidi w:val="0"/>
        <w:adjustRightInd/>
        <w:snapToGrid/>
        <w:spacing w:before="100" w:beforeAutospacing="1" w:after="100" w:afterAutospacing="1" w:line="360" w:lineRule="auto"/>
        <w:ind w:left="0" w:leftChars="0" w:firstLine="415" w:firstLineChars="0"/>
        <w:jc w:val="left"/>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eastAsia="zh-CN"/>
        </w:rPr>
        <w:t>提供现场紧急维修服务：资质工程师紧急上门维修，维修服务响应≤2 小时，工程师平均到场≤24 小时；疑难维修资深全球工程师协同支援。</w:t>
      </w:r>
    </w:p>
    <w:p w14:paraId="5871A0CE">
      <w:pPr>
        <w:keepNext w:val="0"/>
        <w:keepLines w:val="0"/>
        <w:pageBreakBefore w:val="0"/>
        <w:widowControl/>
        <w:numPr>
          <w:ilvl w:val="0"/>
          <w:numId w:val="2"/>
        </w:numPr>
        <w:kinsoku/>
        <w:wordWrap/>
        <w:overflowPunct/>
        <w:topLinePunct w:val="0"/>
        <w:autoSpaceDE/>
        <w:autoSpaceDN/>
        <w:bidi w:val="0"/>
        <w:adjustRightInd/>
        <w:snapToGrid/>
        <w:spacing w:before="100" w:beforeAutospacing="1" w:after="100" w:afterAutospacing="1" w:line="360" w:lineRule="auto"/>
        <w:ind w:left="0" w:leftChars="0" w:firstLine="415" w:firstLineChars="0"/>
        <w:jc w:val="left"/>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eastAsia="zh-CN"/>
        </w:rPr>
        <w:t>预维修服务：基于INTELLlMAX 远程早期故障发现、判断、预先排除故障。</w:t>
      </w:r>
    </w:p>
    <w:p w14:paraId="7E020A40">
      <w:pPr>
        <w:keepNext w:val="0"/>
        <w:keepLines w:val="0"/>
        <w:pageBreakBefore w:val="0"/>
        <w:widowControl/>
        <w:numPr>
          <w:ilvl w:val="0"/>
          <w:numId w:val="2"/>
        </w:numPr>
        <w:kinsoku/>
        <w:wordWrap/>
        <w:overflowPunct/>
        <w:topLinePunct w:val="0"/>
        <w:autoSpaceDE/>
        <w:autoSpaceDN/>
        <w:bidi w:val="0"/>
        <w:adjustRightInd/>
        <w:snapToGrid/>
        <w:spacing w:before="100" w:beforeAutospacing="1" w:after="100" w:afterAutospacing="1" w:line="360" w:lineRule="auto"/>
        <w:ind w:left="0" w:leftChars="0" w:firstLine="415" w:firstLineChars="0"/>
        <w:jc w:val="left"/>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eastAsia="zh-CN"/>
        </w:rPr>
        <w:t>日常维护咨询和保养：提供日常设备维修电话咨询；每年至少提供2 次现场保养(每半年至少1次)。设备维修、保养后提供设备维保服务报告。维修人员的工时费、差旅费等一切费用由中标人承担。</w:t>
      </w:r>
    </w:p>
    <w:p w14:paraId="2DEA9E45">
      <w:pPr>
        <w:keepNext w:val="0"/>
        <w:keepLines w:val="0"/>
        <w:pageBreakBefore w:val="0"/>
        <w:widowControl/>
        <w:numPr>
          <w:ilvl w:val="0"/>
          <w:numId w:val="2"/>
        </w:numPr>
        <w:kinsoku/>
        <w:wordWrap/>
        <w:overflowPunct/>
        <w:topLinePunct w:val="0"/>
        <w:autoSpaceDE/>
        <w:autoSpaceDN/>
        <w:bidi w:val="0"/>
        <w:adjustRightInd/>
        <w:snapToGrid/>
        <w:spacing w:before="100" w:beforeAutospacing="1" w:after="100" w:afterAutospacing="1" w:line="360" w:lineRule="auto"/>
        <w:ind w:left="0" w:leftChars="0" w:firstLine="415" w:firstLineChars="0"/>
        <w:jc w:val="left"/>
        <w:textAlignment w:val="auto"/>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lang w:eastAsia="zh-CN"/>
        </w:rPr>
        <w:t>提供</w:t>
      </w:r>
      <w:r>
        <w:rPr>
          <w:rFonts w:hint="eastAsia" w:ascii="宋体" w:hAnsi="宋体" w:eastAsia="宋体" w:cs="宋体"/>
          <w:color w:val="000000"/>
          <w:kern w:val="0"/>
          <w:sz w:val="28"/>
          <w:szCs w:val="28"/>
          <w:lang w:val="en-US" w:eastAsia="zh-CN"/>
        </w:rPr>
        <w:t>物理师</w:t>
      </w:r>
      <w:r>
        <w:rPr>
          <w:rFonts w:hint="eastAsia" w:ascii="宋体" w:hAnsi="宋体" w:eastAsia="宋体" w:cs="宋体"/>
          <w:color w:val="000000"/>
          <w:kern w:val="0"/>
          <w:sz w:val="28"/>
          <w:szCs w:val="28"/>
          <w:lang w:eastAsia="zh-CN"/>
        </w:rPr>
        <w:t>、</w:t>
      </w:r>
      <w:r>
        <w:rPr>
          <w:rFonts w:hint="eastAsia" w:ascii="宋体" w:hAnsi="宋体" w:eastAsia="宋体" w:cs="宋体"/>
          <w:color w:val="000000"/>
          <w:kern w:val="0"/>
          <w:sz w:val="28"/>
          <w:szCs w:val="28"/>
          <w:lang w:val="en-US" w:eastAsia="zh-CN"/>
        </w:rPr>
        <w:t>设备科工程师</w:t>
      </w:r>
      <w:r>
        <w:rPr>
          <w:rFonts w:hint="eastAsia" w:ascii="宋体" w:hAnsi="宋体" w:eastAsia="宋体" w:cs="宋体"/>
          <w:color w:val="000000"/>
          <w:kern w:val="0"/>
          <w:sz w:val="28"/>
          <w:szCs w:val="28"/>
          <w:lang w:eastAsia="zh-CN"/>
        </w:rPr>
        <w:t>等方面专业培训，每年不少于2人次。</w:t>
      </w:r>
    </w:p>
    <w:p w14:paraId="406E4DC6">
      <w:pPr>
        <w:keepNext w:val="0"/>
        <w:keepLines w:val="0"/>
        <w:pageBreakBefore w:val="0"/>
        <w:widowControl/>
        <w:numPr>
          <w:ilvl w:val="0"/>
          <w:numId w:val="0"/>
        </w:numPr>
        <w:kinsoku/>
        <w:wordWrap/>
        <w:overflowPunct/>
        <w:topLinePunct w:val="0"/>
        <w:autoSpaceDE/>
        <w:autoSpaceDN/>
        <w:bidi w:val="0"/>
        <w:adjustRightInd/>
        <w:snapToGrid/>
        <w:spacing w:before="100" w:beforeAutospacing="1" w:after="100" w:afterAutospacing="1" w:line="360" w:lineRule="auto"/>
        <w:jc w:val="left"/>
        <w:textAlignment w:val="auto"/>
        <w:rPr>
          <w:rFonts w:hint="eastAsia" w:ascii="宋体" w:hAnsi="宋体" w:eastAsia="宋体" w:cs="宋体"/>
          <w:color w:val="000000"/>
          <w:kern w:val="0"/>
          <w:sz w:val="28"/>
          <w:szCs w:val="28"/>
          <w:lang w:eastAsia="zh-CN"/>
        </w:rPr>
      </w:pPr>
    </w:p>
    <w:sectPr>
      <w:footerReference r:id="rId3" w:type="default"/>
      <w:pgSz w:w="11906" w:h="16838"/>
      <w:pgMar w:top="1440" w:right="1800" w:bottom="1440"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60106836"/>
    </w:sdtPr>
    <w:sdtContent>
      <w:sdt>
        <w:sdtPr>
          <w:id w:val="1728636285"/>
        </w:sdtPr>
        <w:sdtContent>
          <w:p w14:paraId="3F01ADB5">
            <w:pPr>
              <w:pStyle w:val="4"/>
              <w:jc w:val="center"/>
            </w:pP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w:t>
            </w:r>
            <w:r>
              <w:rPr>
                <w:b/>
                <w:bCs/>
                <w:sz w:val="24"/>
                <w:szCs w:val="24"/>
              </w:rPr>
              <w:fldChar w:fldCharType="begin"/>
            </w:r>
            <w:r>
              <w:rPr>
                <w:b/>
                <w:bCs/>
              </w:rPr>
              <w:instrText xml:space="preserve">NUMPAGES</w:instrText>
            </w:r>
            <w:r>
              <w:rPr>
                <w:b/>
                <w:bCs/>
                <w:sz w:val="24"/>
                <w:szCs w:val="24"/>
              </w:rPr>
              <w:fldChar w:fldCharType="separate"/>
            </w:r>
            <w:r>
              <w:rPr>
                <w:b/>
                <w:bCs/>
              </w:rPr>
              <w:t>2</w:t>
            </w:r>
            <w:r>
              <w:rPr>
                <w:b/>
                <w:bCs/>
                <w:sz w:val="24"/>
                <w:szCs w:val="24"/>
              </w:rPr>
              <w:fldChar w:fldCharType="end"/>
            </w:r>
          </w:p>
        </w:sdtContent>
      </w:sdt>
    </w:sdtContent>
  </w:sdt>
  <w:p w14:paraId="456A35DB">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C65731"/>
    <w:multiLevelType w:val="singleLevel"/>
    <w:tmpl w:val="E9C65731"/>
    <w:lvl w:ilvl="0" w:tentative="0">
      <w:start w:val="1"/>
      <w:numFmt w:val="decimal"/>
      <w:lvlText w:val="%1."/>
      <w:lvlJc w:val="left"/>
      <w:pPr>
        <w:ind w:left="425" w:hanging="425"/>
      </w:pPr>
      <w:rPr>
        <w:rFonts w:hint="default"/>
      </w:rPr>
    </w:lvl>
  </w:abstractNum>
  <w:abstractNum w:abstractNumId="1">
    <w:nsid w:val="2C4A8AE2"/>
    <w:multiLevelType w:val="singleLevel"/>
    <w:tmpl w:val="2C4A8AE2"/>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iOTZkYjQ2Nzc2NTFjOGI1M2E1M2ZlZGM2MGM3ZGUifQ=="/>
    <w:docVar w:name="KSO_WPS_MARK_KEY" w:val="93210919-9d30-4cc8-be99-ccc403d8efa2"/>
  </w:docVars>
  <w:rsids>
    <w:rsidRoot w:val="00172A27"/>
    <w:rsid w:val="0004189D"/>
    <w:rsid w:val="000D7137"/>
    <w:rsid w:val="00172A27"/>
    <w:rsid w:val="001C3E09"/>
    <w:rsid w:val="001C5289"/>
    <w:rsid w:val="001F4AF4"/>
    <w:rsid w:val="00285455"/>
    <w:rsid w:val="003308FA"/>
    <w:rsid w:val="003A5FF0"/>
    <w:rsid w:val="00412A44"/>
    <w:rsid w:val="00525977"/>
    <w:rsid w:val="005265B1"/>
    <w:rsid w:val="00551829"/>
    <w:rsid w:val="005940DC"/>
    <w:rsid w:val="00637BE0"/>
    <w:rsid w:val="00652335"/>
    <w:rsid w:val="006C607E"/>
    <w:rsid w:val="00741388"/>
    <w:rsid w:val="008179CD"/>
    <w:rsid w:val="00851A43"/>
    <w:rsid w:val="00853139"/>
    <w:rsid w:val="00875F36"/>
    <w:rsid w:val="00950AA6"/>
    <w:rsid w:val="0098131A"/>
    <w:rsid w:val="00A66A8C"/>
    <w:rsid w:val="00B7583B"/>
    <w:rsid w:val="00BA2185"/>
    <w:rsid w:val="00BA2D22"/>
    <w:rsid w:val="00C65E44"/>
    <w:rsid w:val="00C76CC4"/>
    <w:rsid w:val="00CF311F"/>
    <w:rsid w:val="00D8734E"/>
    <w:rsid w:val="00DF0C80"/>
    <w:rsid w:val="00E314A7"/>
    <w:rsid w:val="00E87AE6"/>
    <w:rsid w:val="00FD4212"/>
    <w:rsid w:val="028B22BA"/>
    <w:rsid w:val="03EF1E8E"/>
    <w:rsid w:val="042A68D1"/>
    <w:rsid w:val="08367925"/>
    <w:rsid w:val="092A45F3"/>
    <w:rsid w:val="0AF9260E"/>
    <w:rsid w:val="12DF1B94"/>
    <w:rsid w:val="13A740BB"/>
    <w:rsid w:val="161778A0"/>
    <w:rsid w:val="1D2541E5"/>
    <w:rsid w:val="1DB91893"/>
    <w:rsid w:val="209B4FA7"/>
    <w:rsid w:val="24526424"/>
    <w:rsid w:val="26132EFB"/>
    <w:rsid w:val="2762479E"/>
    <w:rsid w:val="325F7DF7"/>
    <w:rsid w:val="342A71FD"/>
    <w:rsid w:val="36D35EAB"/>
    <w:rsid w:val="4251759B"/>
    <w:rsid w:val="452C7F61"/>
    <w:rsid w:val="47F6293F"/>
    <w:rsid w:val="494B0AF8"/>
    <w:rsid w:val="498C3682"/>
    <w:rsid w:val="4DE3533E"/>
    <w:rsid w:val="538B2FD8"/>
    <w:rsid w:val="5A09072E"/>
    <w:rsid w:val="5AAC50E0"/>
    <w:rsid w:val="5EC94A7D"/>
    <w:rsid w:val="65FB7383"/>
    <w:rsid w:val="67DA14DE"/>
    <w:rsid w:val="72ED0BB5"/>
    <w:rsid w:val="7C8D3B68"/>
    <w:rsid w:val="7CE472F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文字 Char"/>
    <w:basedOn w:val="8"/>
    <w:link w:val="2"/>
    <w:semiHidden/>
    <w:qFormat/>
    <w:uiPriority w:val="99"/>
  </w:style>
  <w:style w:type="character" w:customStyle="1" w:styleId="13">
    <w:name w:val="批注主题 Char"/>
    <w:basedOn w:val="12"/>
    <w:link w:val="6"/>
    <w:semiHidden/>
    <w:qFormat/>
    <w:uiPriority w:val="99"/>
    <w:rPr>
      <w:b/>
      <w:bCs/>
    </w:rPr>
  </w:style>
  <w:style w:type="character" w:customStyle="1" w:styleId="14">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576</Words>
  <Characters>635</Characters>
  <Lines>7</Lines>
  <Paragraphs>2</Paragraphs>
  <TotalTime>2</TotalTime>
  <ScaleCrop>false</ScaleCrop>
  <LinksUpToDate>false</LinksUpToDate>
  <CharactersWithSpaces>643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2022-09-08T01:32:00Z</dcterms:created>
  <dc:creator>123</dc:creator>
  <cp:lastModifiedBy>WPS_1467184377</cp:lastModifiedBy>
  <dcterms:modified xsi:type="dcterms:W3CDTF">2025-11-12T01:43:19Z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48D8499B1B7B441AB082463119316155_13</vt:lpwstr>
  </property>
  <property fmtid="{D5CDD505-2E9C-101B-9397-08002B2CF9AE}" pid="4" name="KSOTemplateDocerSaveRecord">
    <vt:lpwstr>eyJoZGlkIjoiODkzODgxNGE1MDU0YTM1NGY1NWY1MTNiMjZlYzliODQiLCJ1c2VySWQiOiIyMjY1Mjk5MDcifQ==</vt:lpwstr>
  </property>
</Properties>
</file>