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B1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42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项目名称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：</w:t>
      </w:r>
    </w:p>
    <w:p w14:paraId="73D29F24">
      <w:pPr>
        <w:spacing w:line="240" w:lineRule="auto"/>
        <w:ind w:firstLine="840" w:firstLineChars="30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GE Definium 6000 DR设备搬迁服务</w:t>
      </w:r>
    </w:p>
    <w:p w14:paraId="5DC9851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42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预算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8.5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万元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。</w:t>
      </w:r>
    </w:p>
    <w:p w14:paraId="2E686B3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服务基本要求：</w:t>
      </w:r>
    </w:p>
    <w:tbl>
      <w:tblPr>
        <w:tblStyle w:val="9"/>
        <w:tblW w:w="947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0"/>
        <w:gridCol w:w="1769"/>
        <w:gridCol w:w="1031"/>
        <w:gridCol w:w="5290"/>
      </w:tblGrid>
      <w:tr w14:paraId="24205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380" w:type="dxa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9502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设备名称</w:t>
            </w:r>
          </w:p>
        </w:tc>
        <w:tc>
          <w:tcPr>
            <w:tcW w:w="1769" w:type="dxa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05B6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型号</w:t>
            </w:r>
          </w:p>
        </w:tc>
        <w:tc>
          <w:tcPr>
            <w:tcW w:w="1031" w:type="dxa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1D79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5290" w:type="dxa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7380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1ACFA7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80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DB84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GE DR</w:t>
            </w:r>
          </w:p>
        </w:tc>
        <w:tc>
          <w:tcPr>
            <w:tcW w:w="1769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1098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Definium 6000</w:t>
            </w:r>
          </w:p>
        </w:tc>
        <w:tc>
          <w:tcPr>
            <w:tcW w:w="1031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F32E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1台</w:t>
            </w:r>
          </w:p>
        </w:tc>
        <w:tc>
          <w:tcPr>
            <w:tcW w:w="5290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E9C3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包含但不限于DR整套设备、后处理工作站等机房内所有设备</w:t>
            </w:r>
          </w:p>
        </w:tc>
      </w:tr>
    </w:tbl>
    <w:p w14:paraId="5CB67204">
      <w:pPr>
        <w:pStyle w:val="2"/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</w:p>
    <w:p w14:paraId="5F733CB2">
      <w:pPr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上述设备从住院部2楼搬迁至新综合楼3楼的全程服务，包括拆卸、包装、运输、安装、调试及验收。</w:t>
      </w:r>
    </w:p>
    <w:p w14:paraId="44DB2D13">
      <w:pPr>
        <w:pStyle w:val="2"/>
        <w:numPr>
          <w:ilvl w:val="0"/>
          <w:numId w:val="0"/>
        </w:numPr>
        <w:ind w:left="420" w:leftChars="0"/>
        <w:rPr>
          <w:rFonts w:hint="eastAsia"/>
        </w:rPr>
      </w:pPr>
    </w:p>
    <w:p w14:paraId="5324B603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cs="宋体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服从采购人安防、消防及交通等管理要求；所派遣全部迁移相关工作人员只在指定项目实施场地活动，不得进入其它楼层正常办公区域，不对采购人正常办公进行干扰。</w:t>
      </w:r>
    </w:p>
    <w:p w14:paraId="1DF559F0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2、实施场地交付</w:t>
      </w:r>
    </w:p>
    <w:p w14:paraId="6070F4A4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项目场地可交付中标人实施，实施范围的具体位置及可交付中标人实施安排的项目实施范围，应严格依照采购人要求执行。</w:t>
      </w:r>
    </w:p>
    <w:p w14:paraId="0FEC3E2C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3、安全作业要求</w:t>
      </w:r>
    </w:p>
    <w:p w14:paraId="585BFE1D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①中标人需有科学、健全、高效的搬运安全制度和措施。</w:t>
      </w:r>
    </w:p>
    <w:p w14:paraId="3BC9DBDA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②负责安全、照章搬运，建立保证人身、搬运车辆和财物安全的方案。</w:t>
      </w:r>
    </w:p>
    <w:p w14:paraId="516D1F7B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③做好搬运物品的保护，轻拿、轻放、轻拆、轻装、轻摆，做好物品固定和隔离。</w:t>
      </w:r>
    </w:p>
    <w:p w14:paraId="01A4C89F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④中标人驾驶员须严格控制车速，平稳行车，避免运输物品的损坏和丢失。</w:t>
      </w:r>
    </w:p>
    <w:p w14:paraId="0015B1D3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⑤中标人须做好防雨、防水、防火、防压、防震和防撞措施。</w:t>
      </w:r>
    </w:p>
    <w:p w14:paraId="7B855FDB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⑥中标人派遣项目人员不得在项目实施场地发生抽烟、喝酒、大声喧哗等不适当行为。</w:t>
      </w:r>
    </w:p>
    <w:p w14:paraId="281E7BBD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⑦搬迁移位前中标人需详细了解设备的吊装规范要求，作业过程严格按吊装规范要求作业，确保作业人员及设备的安全。</w:t>
      </w:r>
    </w:p>
    <w:p w14:paraId="5A24F43A"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4、保修要求</w:t>
      </w:r>
    </w:p>
    <w:p w14:paraId="644F4DDA"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所有设备完成安装调试后机器出现任何问题，中标人提供不少于</w:t>
      </w:r>
      <w:r>
        <w:rPr>
          <w:rFonts w:hint="eastAsia" w:cs="宋体"/>
          <w:color w:val="auto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天保修服务。保修期内，所有设备维修服务均为24小时×7天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的上门服务，由此产生的</w:t>
      </w:r>
      <w:r>
        <w:rPr>
          <w:rFonts w:hint="eastAsia" w:cs="宋体"/>
          <w:color w:val="auto"/>
          <w:kern w:val="0"/>
          <w:sz w:val="28"/>
          <w:szCs w:val="28"/>
          <w:lang w:val="en-US" w:eastAsia="zh-CN"/>
        </w:rPr>
        <w:t>人工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费用已包含在本次投标报价中</w:t>
      </w:r>
      <w:r>
        <w:rPr>
          <w:rFonts w:hint="eastAsia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kern w:val="0"/>
          <w:sz w:val="28"/>
          <w:szCs w:val="28"/>
          <w:lang w:val="en-US" w:eastAsia="zh-CN"/>
        </w:rPr>
        <w:t>不含配件费用）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。</w:t>
      </w:r>
    </w:p>
    <w:p w14:paraId="369A770B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5、拆卸要求</w:t>
      </w:r>
    </w:p>
    <w:p w14:paraId="4988495A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①采购人需要中标人按拆卸技术要求实施，需拆设备配件的分离要打标、打包且不得混装；</w:t>
      </w:r>
    </w:p>
    <w:p w14:paraId="47B93118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②拆卸设备时间应确保提前，拆卸完后预留时间按采购人资产管理处清查时的设备编码进行核对，对拆卸设备进行归类整理并摆放整齐；</w:t>
      </w:r>
    </w:p>
    <w:p w14:paraId="4B73DBDE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③对需要拆卸的设备，在设备拆卸之前，对设备整体及局部进行详细拍照记录或视频配语音记录，并做好登记保存，同时提交给采购人，确保搬运到目的地重新安装时有据可循。搬迁后需要恢复原有正常工作状态；</w:t>
      </w:r>
    </w:p>
    <w:p w14:paraId="1E0FD0FD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④拆卸时要注意安全。确保在设备断电状态下对设备进行拆卸，避免拆卸时造成人身安全事故或损坏设备；</w:t>
      </w:r>
    </w:p>
    <w:p w14:paraId="6B0EF473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⑤对需要拆卸的设备，在拆卸过程中，做好相应的安全防护措施，不能损坏仪器设备；对部分设备拆卸后无法原样恢复完好，在安装时由中标人负责重新采购配置相同设备予以完成安装；</w:t>
      </w:r>
    </w:p>
    <w:p w14:paraId="2D1E4EB0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⑥对容易破碎、损坏、变形及各种小件仪器设备、备品备件、耗材等设备，由中标人负责打包（根据设备情况进行打木箱、泡沫箱、纸箱、塑料箱等）保护。搬迁物品所用的拆装箱由中标人提供。</w:t>
      </w:r>
    </w:p>
    <w:p w14:paraId="788E4AF0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6、搬运要求</w:t>
      </w:r>
    </w:p>
    <w:p w14:paraId="6A156B92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①运输车辆为符合交通管理条例的货物运输车辆，需确保车辆状况良好，并具有搬运资质、通行许可、保险有效、年检合格。</w:t>
      </w:r>
    </w:p>
    <w:p w14:paraId="3ECF92FB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②中标人可采用拖车，液压车、移动平台车、叉车、吊车等运输车辆辅助运输，所有运输工具做减震防护处理，应配备专业搬迁工具，为保证不压坏地坪漆，在采购人工作地点走廊及室内地面铺设防护用具。对可能需要用到的各种特种设备，由中标人安排提供，所有现场作业需用到的特种设备须保证干净且具备检验合格证书，操作人员应具备相应的特种设备作业人员证。</w:t>
      </w:r>
    </w:p>
    <w:p w14:paraId="0C39DE1C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③中标人需提供搬运工人、调度人员、现场管理人员安排计划表和搬运设备一览表，确保随车配备足够的搬运工人，在采购人单位指定人员及设备专业工程师的指导下，完成仪器装车工作。</w:t>
      </w:r>
    </w:p>
    <w:p w14:paraId="08722E05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④对于容易破碎、损坏或变形的设备，在搬运过程中，确保打包（根据设备情况进行打木箱、泡沫箱、纸箱、塑料箱）保护可靠，防止运输途中损坏。</w:t>
      </w:r>
    </w:p>
    <w:p w14:paraId="13D18205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⑤根据仪器设备搬运的要求，如：防水、防震、防倾斜等，运输车辆必须随带防雨、固定、填充物及隔离器材等。仪器在车厢需摆放合理，全部实训台单层放置，不得堆叠。</w:t>
      </w:r>
    </w:p>
    <w:p w14:paraId="25888176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⑥搬运及运输过程中，所有设备做好相应的绑扎固定措施，防止运输途中发生倾倒、侧翻情况。不可出现碰撞，不可损坏设备硬件，不允许出现10度以上倾斜，搬迁过程中如出现不合规行为对设备造成的损害，对设备进行相应赔偿。</w:t>
      </w:r>
    </w:p>
    <w:p w14:paraId="40D9E616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⑦中标人应协助采购人单位完成搬运计划的细化和现场管理，专门安排经验丰富的车辆调度人员进行现场调度，相关负责人现场办公，搬运高峰期增加调度和现场管理人员。</w:t>
      </w:r>
    </w:p>
    <w:p w14:paraId="471DF1EF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⑧中标人需采用环保材料对迁进场所的地面、墙面进行保护，防地面、墙面划伤，特别是重型设备的搬运要对地面进行特殊防护，如用木板等材料进行保护；如有损坏，由采购人单位指定人员向中标人提出，中标人需要恢复原貌，一切费用由中标人承担。</w:t>
      </w:r>
    </w:p>
    <w:p w14:paraId="6A5999B7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⑨所有单体设备、备品备件、耗材等依据定置管理，根据采购人要求，由中标人负责摆放到位。</w:t>
      </w:r>
    </w:p>
    <w:p w14:paraId="4A721C8A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⑩保护材料在迁移后由中标人清理并运离现场，包括搬出场所、搬入场所、设备、箱体的保护材料，产生费用计入项目报价，采购人不另行支付任何费用。</w:t>
      </w:r>
    </w:p>
    <w:p w14:paraId="2E02F964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7、安装调试、补充设备设施、搬迁相关配套服务要求</w:t>
      </w:r>
    </w:p>
    <w:p w14:paraId="693D73B2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①中标人在目的地组合型设备安装时，根据之前的拍照或视频记录，根据对应关系完成设备安装及接线等工作，确保安装及接线正确并调试正常。</w:t>
      </w:r>
    </w:p>
    <w:p w14:paraId="406E4DC6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②对于需要二次安装调试的设备，中标人无法自行完成时，由设备厂家技术人员到现场指导、安装，完成安装接线和通电调试工作（由中标人负责联系设备厂家，产生的费用，包含在本次投标报价内）。</w:t>
      </w:r>
    </w:p>
    <w:sectPr>
      <w:footerReference r:id="rId3" w:type="default"/>
      <w:pgSz w:w="11906" w:h="16838"/>
      <w:pgMar w:top="1440" w:right="1800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0106836"/>
    </w:sdtPr>
    <w:sdtContent>
      <w:sdt>
        <w:sdtPr>
          <w:id w:val="1728636285"/>
        </w:sdtPr>
        <w:sdtContent>
          <w:p w14:paraId="3F01ADB5">
            <w:pPr>
              <w:pStyle w:val="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6A35DB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4A8AE2"/>
    <w:multiLevelType w:val="singleLevel"/>
    <w:tmpl w:val="2C4A8AE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OTZkYjQ2Nzc2NTFjOGI1M2E1M2ZlZGM2MGM3ZGUifQ=="/>
    <w:docVar w:name="KSO_WPS_MARK_KEY" w:val="93210919-9d30-4cc8-be99-ccc403d8efa2"/>
  </w:docVars>
  <w:rsids>
    <w:rsidRoot w:val="00172A27"/>
    <w:rsid w:val="0004189D"/>
    <w:rsid w:val="000D7137"/>
    <w:rsid w:val="00172A27"/>
    <w:rsid w:val="001C3E09"/>
    <w:rsid w:val="001C5289"/>
    <w:rsid w:val="001F4AF4"/>
    <w:rsid w:val="00285455"/>
    <w:rsid w:val="003308FA"/>
    <w:rsid w:val="003A5FF0"/>
    <w:rsid w:val="00412A44"/>
    <w:rsid w:val="00525977"/>
    <w:rsid w:val="005265B1"/>
    <w:rsid w:val="00551829"/>
    <w:rsid w:val="005940DC"/>
    <w:rsid w:val="00637BE0"/>
    <w:rsid w:val="00652335"/>
    <w:rsid w:val="006C607E"/>
    <w:rsid w:val="00741388"/>
    <w:rsid w:val="008179CD"/>
    <w:rsid w:val="00851A43"/>
    <w:rsid w:val="00853139"/>
    <w:rsid w:val="00875F36"/>
    <w:rsid w:val="00950AA6"/>
    <w:rsid w:val="0098131A"/>
    <w:rsid w:val="00A66A8C"/>
    <w:rsid w:val="00B7583B"/>
    <w:rsid w:val="00BA2185"/>
    <w:rsid w:val="00BA2D22"/>
    <w:rsid w:val="00C65E44"/>
    <w:rsid w:val="00C76CC4"/>
    <w:rsid w:val="00CF311F"/>
    <w:rsid w:val="00D8734E"/>
    <w:rsid w:val="00DF0C80"/>
    <w:rsid w:val="00E314A7"/>
    <w:rsid w:val="00E87AE6"/>
    <w:rsid w:val="00FD4212"/>
    <w:rsid w:val="028B22BA"/>
    <w:rsid w:val="03EF1E8E"/>
    <w:rsid w:val="042A68D1"/>
    <w:rsid w:val="08367925"/>
    <w:rsid w:val="0AF9260E"/>
    <w:rsid w:val="12DF1B94"/>
    <w:rsid w:val="13A740BB"/>
    <w:rsid w:val="161778A0"/>
    <w:rsid w:val="1D2541E5"/>
    <w:rsid w:val="1DB91893"/>
    <w:rsid w:val="209B4FA7"/>
    <w:rsid w:val="24526424"/>
    <w:rsid w:val="26132EFB"/>
    <w:rsid w:val="2762479E"/>
    <w:rsid w:val="297D3ABF"/>
    <w:rsid w:val="325F7DF7"/>
    <w:rsid w:val="342A71FD"/>
    <w:rsid w:val="36D35EAB"/>
    <w:rsid w:val="4251759B"/>
    <w:rsid w:val="452C7F61"/>
    <w:rsid w:val="45B62A4A"/>
    <w:rsid w:val="47F6293F"/>
    <w:rsid w:val="494B0AF8"/>
    <w:rsid w:val="498C3682"/>
    <w:rsid w:val="4DE3533E"/>
    <w:rsid w:val="509669B0"/>
    <w:rsid w:val="538B2FD8"/>
    <w:rsid w:val="5A09072E"/>
    <w:rsid w:val="5AAC50E0"/>
    <w:rsid w:val="5EC94A7D"/>
    <w:rsid w:val="65FB7383"/>
    <w:rsid w:val="67DA14DE"/>
    <w:rsid w:val="72ED0BB5"/>
    <w:rsid w:val="7C8D3B68"/>
    <w:rsid w:val="7CDC31AB"/>
    <w:rsid w:val="7CE472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"/>
    <w:basedOn w:val="3"/>
    <w:qFormat/>
    <w:uiPriority w:val="0"/>
    <w:pPr>
      <w:adjustRightInd w:val="0"/>
      <w:spacing w:line="360" w:lineRule="auto"/>
      <w:ind w:firstLine="437"/>
      <w:jc w:val="left"/>
    </w:pPr>
    <w:rPr>
      <w:rFonts w:hint="eastAsia" w:ascii="宋体" w:hAnsi="宋体"/>
      <w:kern w:val="0"/>
      <w:sz w:val="24"/>
      <w:szCs w:val="21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5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Char"/>
    <w:basedOn w:val="10"/>
    <w:link w:val="4"/>
    <w:semiHidden/>
    <w:qFormat/>
    <w:uiPriority w:val="99"/>
  </w:style>
  <w:style w:type="character" w:customStyle="1" w:styleId="15">
    <w:name w:val="批注主题 Char"/>
    <w:basedOn w:val="14"/>
    <w:link w:val="8"/>
    <w:semiHidden/>
    <w:qFormat/>
    <w:uiPriority w:val="99"/>
    <w:rPr>
      <w:b/>
      <w:bCs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2047</Words>
  <Characters>2075</Characters>
  <Lines>7</Lines>
  <Paragraphs>2</Paragraphs>
  <TotalTime>10</TotalTime>
  <ScaleCrop>false</ScaleCrop>
  <LinksUpToDate>false</LinksUpToDate>
  <CharactersWithSpaces>2080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2022-09-08T01:32:00Z</dcterms:created>
  <dc:creator>123</dc:creator>
  <cp:lastModifiedBy>WPS_1467184377</cp:lastModifiedBy>
  <dcterms:modified xsi:type="dcterms:W3CDTF">2026-01-13T07:00:22Z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9F4927E35F484BB88CD15217F656A41B_13</vt:lpwstr>
  </property>
  <property fmtid="{D5CDD505-2E9C-101B-9397-08002B2CF9AE}" pid="4" name="KSOTemplateDocerSaveRecord">
    <vt:lpwstr>eyJoZGlkIjoiODkzODgxNGE1MDU0YTM1NGY1NWY1MTNiMjZlYzliODQiLCJ1c2VySWQiOiIyMjY1Mjk5MDcifQ==</vt:lpwstr>
  </property>
</Properties>
</file>