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中山市中医院院内评审采购文件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w:t>
      </w:r>
      <w:r>
        <w:rPr>
          <w:rFonts w:hint="eastAsia" w:ascii="宋体" w:hAnsi="宋体"/>
          <w:b/>
          <w:bCs/>
          <w:sz w:val="36"/>
          <w:szCs w:val="36"/>
          <w:highlight w:val="none"/>
          <w:lang w:val="en-US" w:eastAsia="zh-CN"/>
        </w:rPr>
        <w:t>F</w:t>
      </w:r>
      <w:r>
        <w:rPr>
          <w:rFonts w:hint="eastAsia" w:ascii="宋体" w:hAnsi="宋体"/>
          <w:b/>
          <w:bCs/>
          <w:sz w:val="36"/>
          <w:szCs w:val="36"/>
          <w:highlight w:val="none"/>
        </w:rPr>
        <w:t>W-CG00</w:t>
      </w:r>
      <w:r>
        <w:rPr>
          <w:rFonts w:hint="eastAsia" w:ascii="宋体" w:hAnsi="宋体"/>
          <w:b/>
          <w:bCs/>
          <w:sz w:val="36"/>
          <w:szCs w:val="36"/>
          <w:highlight w:val="none"/>
          <w:lang w:val="en-US" w:eastAsia="zh-CN"/>
        </w:rPr>
        <w:t>2</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中山市中医院“防治康”一体化信息系统验收测评服务项目</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eastAsia"/>
          <w:highlight w:val="none"/>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2</w:t>
      </w:r>
      <w:r>
        <w:rPr>
          <w:rFonts w:hint="eastAsia" w:ascii="宋体" w:hAnsi="宋体"/>
          <w:sz w:val="30"/>
          <w:szCs w:val="30"/>
          <w:highlight w:val="none"/>
        </w:rPr>
        <w:t>月</w:t>
      </w:r>
      <w:r>
        <w:rPr>
          <w:rFonts w:hint="eastAsia" w:ascii="宋体" w:hAnsi="宋体"/>
          <w:sz w:val="30"/>
          <w:szCs w:val="30"/>
          <w:highlight w:val="none"/>
          <w:lang w:val="en-US" w:eastAsia="zh-CN"/>
        </w:rPr>
        <w:t>9</w:t>
      </w:r>
      <w:r>
        <w:rPr>
          <w:rFonts w:hint="eastAsia" w:ascii="宋体" w:hAnsi="宋体"/>
          <w:sz w:val="30"/>
          <w:szCs w:val="30"/>
          <w:highlight w:val="none"/>
        </w:rPr>
        <w:t>日</w:t>
      </w:r>
    </w:p>
    <w:p w14:paraId="05C1464A">
      <w:pPr>
        <w:spacing w:line="360" w:lineRule="auto"/>
        <w:rPr>
          <w:rFonts w:hint="eastAsia" w:ascii="仿宋" w:hAnsi="仿宋" w:eastAsia="仿宋" w:cs="仿宋"/>
          <w:b/>
          <w:spacing w:val="20"/>
          <w:kern w:val="10"/>
          <w:sz w:val="52"/>
          <w:szCs w:val="52"/>
          <w:highlight w:val="none"/>
        </w:rPr>
      </w:pP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中山市中医院院内评审采购文件目录</w:t>
      </w:r>
    </w:p>
    <w:p w14:paraId="6931885C">
      <w:pPr>
        <w:pStyle w:val="2"/>
        <w:rPr>
          <w:rFonts w:hint="eastAsia"/>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、采购项目需求内容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、评审办法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格式四：采购供应商资格信用承诺函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格式五：</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格式六：</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格式七：业绩情况一览表</w:t>
      </w:r>
    </w:p>
    <w:p w14:paraId="0B984271">
      <w:pPr>
        <w:pStyle w:val="8"/>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39"/>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39"/>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39"/>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39"/>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BC8FB56">
      <w:pPr>
        <w:pStyle w:val="39"/>
        <w:spacing w:line="360" w:lineRule="auto"/>
        <w:ind w:firstLine="480" w:firstLineChars="200"/>
        <w:rPr>
          <w:rFonts w:hint="eastAsia" w:ascii="Times New Roman" w:hAnsi="Times New Roman"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6</w:t>
      </w:r>
      <w:r>
        <w:rPr>
          <w:rFonts w:hint="eastAsia" w:cs="Tahoma"/>
          <w:color w:val="000000"/>
          <w:kern w:val="28"/>
          <w:szCs w:val="24"/>
          <w:highlight w:val="none"/>
          <w:lang w:eastAsia="zh-CN"/>
        </w:rPr>
        <w:t>）其他资格要求：</w:t>
      </w:r>
      <w:r>
        <w:rPr>
          <w:rFonts w:hint="eastAsia" w:ascii="Times New Roman" w:hAnsi="Times New Roman" w:cs="Tahoma"/>
          <w:color w:val="000000"/>
          <w:kern w:val="28"/>
          <w:szCs w:val="24"/>
          <w:highlight w:val="none"/>
        </w:rPr>
        <w:t>供应商须具备有效期内的中国合格评定国家认可委员会（CNAS）颁发的检验机构认可证书（含CNAS实验室认可证书），或省级以上（含省、自治区、直辖市）质量监督部门颁发的检验机构资质认定证书（CMA）。资质认证的检测能力范围包括但不限于：计算机信息系统、应用软件、综合布线系统、局域网系统等信息化类。</w:t>
      </w:r>
    </w:p>
    <w:p w14:paraId="02276593">
      <w:pPr>
        <w:pStyle w:val="39"/>
        <w:spacing w:line="360" w:lineRule="auto"/>
        <w:ind w:firstLine="480" w:firstLineChars="200"/>
        <w:rPr>
          <w:rFonts w:hint="eastAsia" w:ascii="Times New Roman" w:hAnsi="Times New Roman" w:cs="Tahoma"/>
          <w:color w:val="000000"/>
          <w:kern w:val="28"/>
          <w:szCs w:val="24"/>
          <w:highlight w:val="none"/>
        </w:rPr>
      </w:pPr>
    </w:p>
    <w:p w14:paraId="344183BF">
      <w:pPr>
        <w:pStyle w:val="39"/>
        <w:spacing w:line="360" w:lineRule="auto"/>
        <w:ind w:firstLine="480" w:firstLineChars="200"/>
        <w:rPr>
          <w:rFonts w:hint="eastAsia" w:ascii="Times New Roman" w:hAnsi="Times New Roman" w:cs="Tahoma"/>
          <w:color w:val="000000"/>
          <w:kern w:val="28"/>
          <w:szCs w:val="24"/>
          <w:highlight w:val="none"/>
        </w:rPr>
      </w:pPr>
    </w:p>
    <w:p w14:paraId="7111C1AA">
      <w:pPr>
        <w:pStyle w:val="39"/>
        <w:spacing w:line="360" w:lineRule="auto"/>
        <w:ind w:firstLine="480" w:firstLineChars="200"/>
        <w:rPr>
          <w:rFonts w:hint="eastAsia" w:ascii="Times New Roman" w:hAnsi="Times New Roman" w:cs="Tahoma"/>
          <w:color w:val="000000"/>
          <w:kern w:val="28"/>
          <w:szCs w:val="24"/>
          <w:highlight w:val="none"/>
        </w:rPr>
      </w:pPr>
    </w:p>
    <w:p w14:paraId="28F28E2B">
      <w:pPr>
        <w:pStyle w:val="39"/>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18"/>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1"/>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1"/>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1"/>
              <w:numPr>
                <w:ilvl w:val="0"/>
                <w:numId w:val="1"/>
              </w:numPr>
              <w:jc w:val="center"/>
              <w:rPr>
                <w:szCs w:val="21"/>
                <w:highlight w:val="none"/>
              </w:rPr>
            </w:pPr>
          </w:p>
        </w:tc>
        <w:tc>
          <w:tcPr>
            <w:tcW w:w="2568" w:type="dxa"/>
            <w:noWrap w:val="0"/>
            <w:vAlign w:val="center"/>
          </w:tcPr>
          <w:p w14:paraId="1D92F54D">
            <w:pPr>
              <w:pStyle w:val="41"/>
              <w:spacing w:line="400" w:lineRule="exact"/>
              <w:ind w:left="102" w:right="206"/>
              <w:jc w:val="center"/>
              <w:rPr>
                <w:szCs w:val="21"/>
                <w:highlight w:val="none"/>
              </w:rPr>
            </w:pPr>
            <w:r>
              <w:rPr>
                <w:rFonts w:hint="eastAsia"/>
                <w:szCs w:val="21"/>
                <w:highlight w:val="none"/>
              </w:rPr>
              <w:t>具有独立承担民事责任的能力</w:t>
            </w:r>
          </w:p>
        </w:tc>
        <w:tc>
          <w:tcPr>
            <w:tcW w:w="6414" w:type="dxa"/>
            <w:noWrap w:val="0"/>
            <w:vAlign w:val="center"/>
          </w:tcPr>
          <w:p w14:paraId="1151C5D1">
            <w:pPr>
              <w:pStyle w:val="41"/>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1"/>
              <w:numPr>
                <w:ilvl w:val="0"/>
                <w:numId w:val="1"/>
              </w:numPr>
              <w:jc w:val="center"/>
              <w:rPr>
                <w:szCs w:val="21"/>
                <w:highlight w:val="none"/>
              </w:rPr>
            </w:pPr>
          </w:p>
        </w:tc>
        <w:tc>
          <w:tcPr>
            <w:tcW w:w="2568" w:type="dxa"/>
            <w:noWrap w:val="0"/>
            <w:vAlign w:val="center"/>
          </w:tcPr>
          <w:p w14:paraId="458B77DB">
            <w:pPr>
              <w:pStyle w:val="41"/>
              <w:spacing w:line="400" w:lineRule="exact"/>
              <w:ind w:left="102"/>
              <w:jc w:val="center"/>
              <w:rPr>
                <w:szCs w:val="21"/>
                <w:highlight w:val="none"/>
              </w:rPr>
            </w:pPr>
            <w:r>
              <w:rPr>
                <w:rFonts w:hint="eastAsia"/>
                <w:szCs w:val="21"/>
                <w:highlight w:val="none"/>
              </w:rPr>
              <w:t>有依法缴纳税收和社会保障资金的良好记录</w:t>
            </w:r>
          </w:p>
        </w:tc>
        <w:tc>
          <w:tcPr>
            <w:tcW w:w="6414" w:type="dxa"/>
            <w:noWrap w:val="0"/>
            <w:vAlign w:val="center"/>
          </w:tcPr>
          <w:p w14:paraId="6E37C024">
            <w:pPr>
              <w:pStyle w:val="41"/>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四</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1"/>
              <w:numPr>
                <w:ilvl w:val="0"/>
                <w:numId w:val="1"/>
              </w:numPr>
              <w:jc w:val="center"/>
              <w:rPr>
                <w:szCs w:val="21"/>
                <w:highlight w:val="none"/>
              </w:rPr>
            </w:pPr>
          </w:p>
        </w:tc>
        <w:tc>
          <w:tcPr>
            <w:tcW w:w="2568" w:type="dxa"/>
            <w:noWrap w:val="0"/>
            <w:vAlign w:val="center"/>
          </w:tcPr>
          <w:p w14:paraId="233D9FCB">
            <w:pPr>
              <w:pStyle w:val="41"/>
              <w:spacing w:line="400" w:lineRule="exact"/>
              <w:ind w:left="102" w:right="86"/>
              <w:jc w:val="center"/>
              <w:rPr>
                <w:szCs w:val="21"/>
                <w:highlight w:val="none"/>
              </w:rPr>
            </w:pPr>
            <w:r>
              <w:rPr>
                <w:rFonts w:hint="eastAsia"/>
                <w:szCs w:val="21"/>
                <w:highlight w:val="none"/>
              </w:rPr>
              <w:t>具有良好的商业信誉和健全的财务会计制度</w:t>
            </w:r>
          </w:p>
        </w:tc>
        <w:tc>
          <w:tcPr>
            <w:tcW w:w="6414" w:type="dxa"/>
            <w:noWrap w:val="0"/>
            <w:vAlign w:val="center"/>
          </w:tcPr>
          <w:p w14:paraId="594CF854">
            <w:pPr>
              <w:pStyle w:val="41"/>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四</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1"/>
              <w:numPr>
                <w:ilvl w:val="0"/>
                <w:numId w:val="1"/>
              </w:numPr>
              <w:jc w:val="center"/>
              <w:rPr>
                <w:szCs w:val="21"/>
                <w:highlight w:val="none"/>
              </w:rPr>
            </w:pPr>
          </w:p>
        </w:tc>
        <w:tc>
          <w:tcPr>
            <w:tcW w:w="2568" w:type="dxa"/>
            <w:noWrap w:val="0"/>
            <w:vAlign w:val="center"/>
          </w:tcPr>
          <w:p w14:paraId="10195A43">
            <w:pPr>
              <w:pStyle w:val="41"/>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414"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五</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1"/>
              <w:numPr>
                <w:ilvl w:val="0"/>
                <w:numId w:val="1"/>
              </w:numPr>
              <w:jc w:val="center"/>
              <w:rPr>
                <w:szCs w:val="21"/>
                <w:highlight w:val="none"/>
              </w:rPr>
            </w:pPr>
          </w:p>
        </w:tc>
        <w:tc>
          <w:tcPr>
            <w:tcW w:w="2568" w:type="dxa"/>
            <w:noWrap w:val="0"/>
            <w:vAlign w:val="center"/>
          </w:tcPr>
          <w:p w14:paraId="00EA4829">
            <w:pPr>
              <w:pStyle w:val="41"/>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414" w:type="dxa"/>
            <w:noWrap w:val="0"/>
            <w:vAlign w:val="center"/>
          </w:tcPr>
          <w:p w14:paraId="1BFA3778">
            <w:pPr>
              <w:pStyle w:val="41"/>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（填写《无违法违纪行为承诺书》，模板参考本采购文件七、响应文件格式 格式</w:t>
            </w:r>
            <w:r>
              <w:rPr>
                <w:rFonts w:hint="eastAsia" w:cs="Tahoma"/>
                <w:b/>
                <w:bCs/>
                <w:color w:val="000000"/>
                <w:kern w:val="28"/>
                <w:szCs w:val="24"/>
                <w:highlight w:val="none"/>
                <w:lang w:val="en-US" w:eastAsia="zh-CN"/>
              </w:rPr>
              <w:t>六</w:t>
            </w:r>
            <w:r>
              <w:rPr>
                <w:rFonts w:hint="eastAsia" w:cs="Tahoma"/>
                <w:b/>
                <w:bCs/>
                <w:color w:val="000000"/>
                <w:kern w:val="28"/>
                <w:szCs w:val="24"/>
                <w:highlight w:val="none"/>
              </w:rPr>
              <w:t>）</w:t>
            </w:r>
          </w:p>
        </w:tc>
      </w:tr>
      <w:tr w14:paraId="1C899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52B77091">
            <w:pPr>
              <w:pStyle w:val="41"/>
              <w:numPr>
                <w:ilvl w:val="0"/>
                <w:numId w:val="1"/>
              </w:numPr>
              <w:jc w:val="center"/>
              <w:rPr>
                <w:szCs w:val="21"/>
                <w:highlight w:val="none"/>
              </w:rPr>
            </w:pPr>
          </w:p>
        </w:tc>
        <w:tc>
          <w:tcPr>
            <w:tcW w:w="2568" w:type="dxa"/>
            <w:noWrap w:val="0"/>
            <w:vAlign w:val="center"/>
          </w:tcPr>
          <w:p w14:paraId="02E260AE">
            <w:pPr>
              <w:pStyle w:val="41"/>
              <w:spacing w:line="400" w:lineRule="exact"/>
              <w:ind w:left="102" w:leftChars="0" w:right="86" w:rightChars="0"/>
              <w:jc w:val="center"/>
              <w:rPr>
                <w:rFonts w:hint="default" w:eastAsia="宋体"/>
                <w:szCs w:val="21"/>
                <w:highlight w:val="none"/>
                <w:lang w:val="en-US" w:eastAsia="zh-CN"/>
              </w:rPr>
            </w:pPr>
            <w:r>
              <w:rPr>
                <w:rFonts w:hint="eastAsia"/>
                <w:szCs w:val="21"/>
                <w:highlight w:val="none"/>
                <w:lang w:val="en-US" w:eastAsia="zh-CN"/>
              </w:rPr>
              <w:t>其他资格要求</w:t>
            </w:r>
          </w:p>
        </w:tc>
        <w:tc>
          <w:tcPr>
            <w:tcW w:w="6414" w:type="dxa"/>
            <w:noWrap w:val="0"/>
            <w:vAlign w:val="center"/>
          </w:tcPr>
          <w:p w14:paraId="21505260">
            <w:pPr>
              <w:pStyle w:val="41"/>
              <w:spacing w:line="360" w:lineRule="exact"/>
              <w:ind w:left="102" w:leftChars="0" w:right="96" w:rightChars="0"/>
              <w:rPr>
                <w:rFonts w:hint="eastAsia" w:cs="Tahoma"/>
                <w:color w:val="000000"/>
                <w:kern w:val="28"/>
                <w:szCs w:val="24"/>
                <w:highlight w:val="none"/>
              </w:rPr>
            </w:pPr>
            <w:r>
              <w:rPr>
                <w:rFonts w:hint="eastAsia" w:ascii="Times New Roman" w:hAnsi="Times New Roman" w:cs="Tahoma"/>
                <w:color w:val="000000"/>
                <w:kern w:val="28"/>
                <w:szCs w:val="24"/>
                <w:highlight w:val="none"/>
              </w:rPr>
              <w:t>供应商须具备有效期内的中国合格评定国家认可委员会（CNAS）颁发的检验机构认可证书（含CNAS实验室认可证书），或省级以上（含省、自治区、直辖市）质量监督部门颁发的检验机构资质认定证书（CMA）。资质认证的检测能力范围包括但不限于：计算机信息系统、应用软件、综合布线系统、局域网系统等信息化类。</w:t>
            </w:r>
          </w:p>
        </w:tc>
      </w:tr>
    </w:tbl>
    <w:p w14:paraId="307C87E1">
      <w:pPr>
        <w:pStyle w:val="39"/>
        <w:spacing w:line="360" w:lineRule="auto"/>
        <w:rPr>
          <w:rFonts w:hint="eastAsia" w:cs="Tahoma"/>
          <w:color w:val="000000"/>
          <w:kern w:val="28"/>
          <w:szCs w:val="24"/>
          <w:highlight w:val="none"/>
        </w:rPr>
      </w:pPr>
    </w:p>
    <w:p w14:paraId="3B5DB5AA">
      <w:pPr>
        <w:pStyle w:val="39"/>
        <w:spacing w:line="360" w:lineRule="auto"/>
        <w:rPr>
          <w:rFonts w:hint="eastAsia" w:cs="Tahoma"/>
          <w:b/>
          <w:color w:val="000000"/>
          <w:kern w:val="28"/>
          <w:szCs w:val="24"/>
          <w:highlight w:val="none"/>
        </w:rPr>
      </w:pPr>
    </w:p>
    <w:p w14:paraId="55B351DF">
      <w:pPr>
        <w:pStyle w:val="39"/>
        <w:spacing w:line="360" w:lineRule="auto"/>
        <w:rPr>
          <w:rFonts w:hint="eastAsia" w:cs="Tahoma"/>
          <w:b/>
          <w:color w:val="000000"/>
          <w:kern w:val="28"/>
          <w:szCs w:val="24"/>
          <w:highlight w:val="none"/>
        </w:rPr>
      </w:pPr>
    </w:p>
    <w:p w14:paraId="1DA1545E">
      <w:pPr>
        <w:pStyle w:val="39"/>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18"/>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1"/>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1"/>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1"/>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1"/>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1"/>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1"/>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bl>
    <w:p w14:paraId="5A5DFF60">
      <w:pPr>
        <w:pStyle w:val="39"/>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4C47BE25">
      <w:pPr>
        <w:spacing w:line="360" w:lineRule="auto"/>
        <w:jc w:val="center"/>
        <w:rPr>
          <w:rFonts w:hint="eastAsia" w:ascii="宋体" w:hAnsi="宋体" w:eastAsia="宋体" w:cs="Times New Roman"/>
          <w:b/>
          <w:sz w:val="36"/>
          <w:szCs w:val="36"/>
          <w:highlight w:val="none"/>
          <w:lang w:val="en-US" w:eastAsia="zh-CN"/>
        </w:rPr>
      </w:pPr>
    </w:p>
    <w:p w14:paraId="340AD94E">
      <w:pPr>
        <w:spacing w:line="360" w:lineRule="auto"/>
        <w:jc w:val="center"/>
        <w:rPr>
          <w:rFonts w:hint="eastAsia" w:ascii="宋体" w:hAnsi="宋体" w:eastAsia="宋体" w:cs="Times New Roman"/>
          <w:b/>
          <w:sz w:val="36"/>
          <w:szCs w:val="36"/>
          <w:highlight w:val="none"/>
          <w:lang w:val="en-US" w:eastAsia="zh-CN"/>
        </w:rPr>
      </w:pPr>
    </w:p>
    <w:p w14:paraId="13FA16ED">
      <w:pPr>
        <w:spacing w:line="360" w:lineRule="auto"/>
        <w:jc w:val="center"/>
        <w:rPr>
          <w:rFonts w:hint="eastAsia" w:ascii="宋体" w:hAnsi="宋体" w:eastAsia="宋体" w:cs="Times New Roman"/>
          <w:b/>
          <w:sz w:val="36"/>
          <w:szCs w:val="36"/>
          <w:highlight w:val="none"/>
          <w:lang w:val="en-US" w:eastAsia="zh-CN"/>
        </w:rPr>
      </w:pPr>
    </w:p>
    <w:p w14:paraId="48FC636D">
      <w:pPr>
        <w:spacing w:line="360" w:lineRule="auto"/>
        <w:jc w:val="center"/>
        <w:rPr>
          <w:rFonts w:hint="eastAsia" w:ascii="宋体" w:hAnsi="宋体" w:eastAsia="宋体" w:cs="Times New Roman"/>
          <w:b/>
          <w:sz w:val="36"/>
          <w:szCs w:val="36"/>
          <w:highlight w:val="none"/>
          <w:lang w:val="en-US" w:eastAsia="zh-CN"/>
        </w:rPr>
      </w:pPr>
    </w:p>
    <w:p w14:paraId="361E5FF7">
      <w:pPr>
        <w:spacing w:line="360" w:lineRule="auto"/>
        <w:jc w:val="center"/>
        <w:rPr>
          <w:rFonts w:hint="eastAsia" w:ascii="宋体" w:hAnsi="宋体" w:eastAsia="宋体" w:cs="Times New Roman"/>
          <w:b/>
          <w:sz w:val="36"/>
          <w:szCs w:val="36"/>
          <w:highlight w:val="none"/>
          <w:lang w:val="en-US" w:eastAsia="zh-CN"/>
        </w:rPr>
      </w:pPr>
    </w:p>
    <w:p w14:paraId="1CFF1266">
      <w:pPr>
        <w:spacing w:line="360" w:lineRule="auto"/>
        <w:jc w:val="center"/>
        <w:rPr>
          <w:rFonts w:hint="eastAsia" w:ascii="宋体" w:hAnsi="宋体" w:eastAsia="宋体" w:cs="Times New Roman"/>
          <w:b/>
          <w:sz w:val="36"/>
          <w:szCs w:val="36"/>
          <w:highlight w:val="none"/>
          <w:lang w:val="en-US" w:eastAsia="zh-CN"/>
        </w:rPr>
      </w:pPr>
    </w:p>
    <w:p w14:paraId="7DD86EED">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center"/>
        <w:rPr>
          <w:rFonts w:hint="eastAsia" w:ascii="宋体" w:hAnsi="宋体" w:eastAsia="宋体" w:cs="Times New Roman"/>
          <w:b/>
          <w:sz w:val="36"/>
          <w:szCs w:val="36"/>
          <w:highlight w:val="none"/>
          <w:lang w:val="en-US" w:eastAsia="zh-CN"/>
        </w:rPr>
      </w:pPr>
    </w:p>
    <w:p w14:paraId="0DDA742A">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39"/>
        <w:spacing w:line="360" w:lineRule="auto"/>
        <w:rPr>
          <w:rFonts w:hint="eastAsia" w:eastAsia="宋体"/>
          <w:b/>
          <w:color w:val="000000"/>
          <w:highlight w:val="none"/>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5663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2D50C45">
            <w:pPr>
              <w:pStyle w:val="39"/>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36043C77">
            <w:pPr>
              <w:pStyle w:val="39"/>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152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130EA7CA">
            <w:pPr>
              <w:pStyle w:val="39"/>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8D83885">
            <w:pPr>
              <w:pStyle w:val="39"/>
              <w:spacing w:line="360" w:lineRule="auto"/>
              <w:rPr>
                <w:rFonts w:hint="eastAsia" w:cs="Tahoma"/>
                <w:color w:val="000000"/>
                <w:kern w:val="28"/>
                <w:szCs w:val="24"/>
                <w:highlight w:val="none"/>
              </w:rPr>
            </w:pPr>
            <w:r>
              <w:rPr>
                <w:rFonts w:hint="eastAsia" w:cs="Tahoma"/>
                <w:color w:val="000000"/>
                <w:kern w:val="28"/>
                <w:szCs w:val="24"/>
                <w:highlight w:val="none"/>
              </w:rPr>
              <w:t>首页及文件目录（模板见附件：见采购公告附件）</w:t>
            </w:r>
          </w:p>
        </w:tc>
      </w:tr>
      <w:tr w14:paraId="6510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57F4D9A1">
            <w:pPr>
              <w:pStyle w:val="39"/>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3E76B7A4">
            <w:pPr>
              <w:pStyle w:val="39"/>
              <w:spacing w:line="360" w:lineRule="auto"/>
              <w:rPr>
                <w:rFonts w:cs="Tahoma"/>
                <w:color w:val="000000"/>
                <w:kern w:val="28"/>
                <w:szCs w:val="24"/>
                <w:highlight w:val="none"/>
              </w:rPr>
            </w:pPr>
            <w:r>
              <w:rPr>
                <w:rFonts w:hint="eastAsia" w:cs="Tahoma"/>
                <w:color w:val="000000"/>
                <w:kern w:val="28"/>
                <w:szCs w:val="24"/>
                <w:highlight w:val="none"/>
              </w:rPr>
              <w:t>项目报价单（参考见</w:t>
            </w:r>
            <w:r>
              <w:rPr>
                <w:rFonts w:hint="eastAsia" w:cs="Tahoma"/>
                <w:color w:val="000000"/>
                <w:kern w:val="28"/>
                <w:szCs w:val="24"/>
                <w:highlight w:val="none"/>
                <w:lang w:eastAsia="zh-CN"/>
              </w:rPr>
              <w:t>七、响应文件格式</w:t>
            </w:r>
            <w:r>
              <w:rPr>
                <w:rFonts w:hint="eastAsia" w:cs="Tahoma"/>
                <w:color w:val="000000"/>
                <w:kern w:val="28"/>
                <w:szCs w:val="24"/>
                <w:highlight w:val="none"/>
              </w:rPr>
              <w:t xml:space="preserve"> 格式三：报价表填写）</w:t>
            </w:r>
          </w:p>
        </w:tc>
      </w:tr>
      <w:tr w14:paraId="16C2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9792800">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3</w:t>
            </w:r>
          </w:p>
        </w:tc>
        <w:tc>
          <w:tcPr>
            <w:tcW w:w="8556" w:type="dxa"/>
            <w:noWrap w:val="0"/>
            <w:vAlign w:val="center"/>
          </w:tcPr>
          <w:p w14:paraId="7383E4E2">
            <w:pPr>
              <w:pStyle w:val="39"/>
              <w:spacing w:line="360" w:lineRule="auto"/>
              <w:rPr>
                <w:rFonts w:cs="Tahoma"/>
                <w:color w:val="000000"/>
                <w:kern w:val="28"/>
                <w:szCs w:val="24"/>
                <w:highlight w:val="none"/>
              </w:rPr>
            </w:pPr>
            <w:r>
              <w:rPr>
                <w:rFonts w:hint="eastAsia" w:cs="Tahoma"/>
                <w:color w:val="000000"/>
                <w:kern w:val="28"/>
                <w:szCs w:val="24"/>
                <w:highlight w:val="none"/>
              </w:rPr>
              <w:t>供应商的介绍（综合实力），全套证件资料（营业执照、税务登记证、组织机构代码证等）</w:t>
            </w:r>
          </w:p>
        </w:tc>
      </w:tr>
      <w:tr w14:paraId="1861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B6CF3C4">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4</w:t>
            </w:r>
          </w:p>
        </w:tc>
        <w:tc>
          <w:tcPr>
            <w:tcW w:w="8556" w:type="dxa"/>
            <w:noWrap w:val="0"/>
            <w:vAlign w:val="center"/>
          </w:tcPr>
          <w:p w14:paraId="3286B69B">
            <w:pPr>
              <w:pStyle w:val="39"/>
              <w:spacing w:line="360" w:lineRule="auto"/>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项目实施方案、</w:t>
            </w:r>
            <w:r>
              <w:rPr>
                <w:rFonts w:hint="eastAsia" w:ascii="宋体" w:hAnsi="宋体" w:eastAsia="宋体" w:cs="宋体"/>
                <w:bCs/>
                <w:sz w:val="24"/>
                <w:szCs w:val="24"/>
                <w:highlight w:val="none"/>
              </w:rPr>
              <w:t>应急响应方案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项目管理方案</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格式自拟</w:t>
            </w:r>
            <w:r>
              <w:rPr>
                <w:rFonts w:hint="eastAsia" w:ascii="宋体" w:hAnsi="宋体" w:eastAsia="宋体" w:cs="宋体"/>
                <w:bCs/>
                <w:sz w:val="24"/>
                <w:szCs w:val="24"/>
                <w:highlight w:val="none"/>
                <w:lang w:eastAsia="zh-CN"/>
              </w:rPr>
              <w:t>）</w:t>
            </w:r>
          </w:p>
        </w:tc>
      </w:tr>
      <w:tr w14:paraId="308A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18FC989">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5</w:t>
            </w:r>
          </w:p>
        </w:tc>
        <w:tc>
          <w:tcPr>
            <w:tcW w:w="8556" w:type="dxa"/>
            <w:noWrap w:val="0"/>
            <w:vAlign w:val="center"/>
          </w:tcPr>
          <w:p w14:paraId="28ADDBC7">
            <w:pPr>
              <w:pStyle w:val="39"/>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451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87EB0F1">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6</w:t>
            </w:r>
          </w:p>
        </w:tc>
        <w:tc>
          <w:tcPr>
            <w:tcW w:w="8556" w:type="dxa"/>
            <w:noWrap w:val="0"/>
            <w:vAlign w:val="center"/>
          </w:tcPr>
          <w:p w14:paraId="3F3D5681">
            <w:pPr>
              <w:pStyle w:val="39"/>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629B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36FEDCD">
            <w:pPr>
              <w:pStyle w:val="39"/>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top"/>
          </w:tcPr>
          <w:p w14:paraId="0908F79B">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3499743A">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490B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FBC7FB8">
            <w:pPr>
              <w:pStyle w:val="39"/>
              <w:spacing w:line="360" w:lineRule="auto"/>
              <w:jc w:val="center"/>
              <w:rPr>
                <w:rFonts w:hint="eastAsia" w:eastAsia="宋体" w:cs="Tahoma"/>
                <w:color w:val="000000"/>
                <w:kern w:val="28"/>
                <w:szCs w:val="24"/>
                <w:highlight w:val="none"/>
                <w:lang w:eastAsia="zh-CN"/>
              </w:rPr>
            </w:pPr>
            <w:r>
              <w:rPr>
                <w:rFonts w:hint="eastAsia" w:eastAsia="宋体" w:cs="Tahoma"/>
                <w:color w:val="000000"/>
                <w:kern w:val="28"/>
                <w:szCs w:val="24"/>
                <w:highlight w:val="none"/>
                <w:lang w:val="en-US" w:eastAsia="zh-CN"/>
              </w:rPr>
              <w:t>8</w:t>
            </w:r>
          </w:p>
        </w:tc>
        <w:tc>
          <w:tcPr>
            <w:tcW w:w="8556" w:type="dxa"/>
            <w:noWrap w:val="0"/>
            <w:vAlign w:val="top"/>
          </w:tcPr>
          <w:p w14:paraId="12E332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1AB32BF0">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190B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C795AE4">
            <w:pPr>
              <w:pStyle w:val="39"/>
              <w:spacing w:line="360" w:lineRule="auto"/>
              <w:jc w:val="center"/>
              <w:rPr>
                <w:rFonts w:hint="eastAsia" w:eastAsia="宋体" w:cs="Tahoma"/>
                <w:color w:val="000000"/>
                <w:kern w:val="28"/>
                <w:szCs w:val="24"/>
                <w:highlight w:val="none"/>
                <w:lang w:eastAsia="zh-CN"/>
              </w:rPr>
            </w:pPr>
            <w:r>
              <w:rPr>
                <w:rFonts w:hint="eastAsia" w:eastAsia="宋体" w:cs="Tahoma"/>
                <w:color w:val="000000"/>
                <w:kern w:val="28"/>
                <w:szCs w:val="24"/>
                <w:highlight w:val="none"/>
                <w:lang w:val="en-US" w:eastAsia="zh-CN"/>
              </w:rPr>
              <w:t>9</w:t>
            </w:r>
          </w:p>
        </w:tc>
        <w:tc>
          <w:tcPr>
            <w:tcW w:w="8556" w:type="dxa"/>
            <w:noWrap w:val="0"/>
            <w:vAlign w:val="top"/>
          </w:tcPr>
          <w:p w14:paraId="5D43EA4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w:t>
            </w:r>
            <w:r>
              <w:rPr>
                <w:rFonts w:hint="eastAsia" w:cs="Tahoma"/>
                <w:color w:val="000000"/>
                <w:kern w:val="28"/>
                <w:sz w:val="24"/>
                <w:highlight w:val="none"/>
                <w:lang w:eastAsia="zh-CN"/>
              </w:rPr>
              <w:t>七、响应文件格式</w:t>
            </w:r>
            <w:r>
              <w:rPr>
                <w:rFonts w:hint="eastAsia" w:cs="Tahoma"/>
                <w:color w:val="000000"/>
                <w:kern w:val="28"/>
                <w:sz w:val="24"/>
                <w:highlight w:val="none"/>
              </w:rPr>
              <w:t xml:space="preserve"> 格式六《采购供应商资格信用承诺函》填写）</w:t>
            </w:r>
          </w:p>
          <w:p w14:paraId="2317F66B">
            <w:pPr>
              <w:rPr>
                <w:rFonts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0FEB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199E711">
            <w:pPr>
              <w:pStyle w:val="39"/>
              <w:spacing w:line="360" w:lineRule="auto"/>
              <w:jc w:val="center"/>
              <w:rPr>
                <w:rFonts w:hint="default" w:eastAsia="宋体" w:cs="Tahoma"/>
                <w:color w:val="000000"/>
                <w:kern w:val="28"/>
                <w:szCs w:val="24"/>
                <w:highlight w:val="none"/>
                <w:lang w:val="en-US" w:eastAsia="zh-CN"/>
              </w:rPr>
            </w:pPr>
            <w:r>
              <w:rPr>
                <w:rFonts w:hint="eastAsia" w:eastAsia="宋体" w:cs="Tahoma"/>
                <w:color w:val="000000"/>
                <w:kern w:val="28"/>
                <w:szCs w:val="24"/>
                <w:highlight w:val="none"/>
                <w:lang w:val="en-US" w:eastAsia="zh-CN"/>
              </w:rPr>
              <w:t>10</w:t>
            </w:r>
          </w:p>
        </w:tc>
        <w:tc>
          <w:tcPr>
            <w:tcW w:w="8556" w:type="dxa"/>
            <w:noWrap w:val="0"/>
            <w:vAlign w:val="center"/>
          </w:tcPr>
          <w:p w14:paraId="340F1BE4">
            <w:pPr>
              <w:pStyle w:val="3"/>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出具《无串通响应等违法违规行为承诺书》、《无违法违纪行为承诺书》。（参考</w:t>
            </w:r>
            <w:r>
              <w:rPr>
                <w:rFonts w:hint="eastAsia" w:hAnsi="Times New Roman" w:cs="Tahoma"/>
                <w:b w:val="0"/>
                <w:bCs w:val="0"/>
                <w:color w:val="000000"/>
                <w:kern w:val="28"/>
                <w:sz w:val="24"/>
                <w:highlight w:val="none"/>
                <w:lang w:eastAsia="zh-CN"/>
              </w:rPr>
              <w:t>七、响应文件格式</w:t>
            </w:r>
            <w:r>
              <w:rPr>
                <w:rFonts w:hint="eastAsia" w:hAnsi="Times New Roman" w:cs="Tahoma"/>
                <w:b w:val="0"/>
                <w:bCs w:val="0"/>
                <w:color w:val="000000"/>
                <w:kern w:val="28"/>
                <w:sz w:val="24"/>
                <w:highlight w:val="none"/>
              </w:rPr>
              <w:t xml:space="preserve"> 格式</w:t>
            </w:r>
            <w:r>
              <w:rPr>
                <w:rFonts w:hint="eastAsia" w:hAnsi="Times New Roman" w:cs="Tahoma"/>
                <w:b w:val="0"/>
                <w:bCs w:val="0"/>
                <w:color w:val="000000"/>
                <w:kern w:val="28"/>
                <w:sz w:val="24"/>
                <w:highlight w:val="none"/>
                <w:lang w:val="en-US" w:eastAsia="zh-CN"/>
              </w:rPr>
              <w:t>五</w:t>
            </w:r>
            <w:r>
              <w:rPr>
                <w:rFonts w:hint="eastAsia" w:hAnsi="Times New Roman" w:cs="Tahoma"/>
                <w:b w:val="0"/>
                <w:bCs w:val="0"/>
                <w:color w:val="000000"/>
                <w:kern w:val="28"/>
                <w:sz w:val="24"/>
                <w:highlight w:val="none"/>
              </w:rPr>
              <w:t>、格式</w:t>
            </w:r>
            <w:r>
              <w:rPr>
                <w:rFonts w:hint="eastAsia" w:hAnsi="Times New Roman" w:cs="Tahoma"/>
                <w:b w:val="0"/>
                <w:bCs w:val="0"/>
                <w:color w:val="000000"/>
                <w:kern w:val="28"/>
                <w:sz w:val="24"/>
                <w:highlight w:val="none"/>
                <w:lang w:val="en-US" w:eastAsia="zh-CN"/>
              </w:rPr>
              <w:t>六</w:t>
            </w:r>
            <w:r>
              <w:rPr>
                <w:rFonts w:hint="eastAsia" w:hAnsi="Times New Roman" w:cs="Tahoma"/>
                <w:b w:val="0"/>
                <w:bCs w:val="0"/>
                <w:color w:val="000000"/>
                <w:kern w:val="28"/>
                <w:sz w:val="24"/>
                <w:highlight w:val="none"/>
              </w:rPr>
              <w:t>）</w:t>
            </w:r>
          </w:p>
        </w:tc>
      </w:tr>
    </w:tbl>
    <w:p w14:paraId="292A90E7">
      <w:pPr>
        <w:pStyle w:val="39"/>
        <w:spacing w:line="360" w:lineRule="auto"/>
        <w:rPr>
          <w:rFonts w:hint="eastAsia" w:cs="Tahoma"/>
          <w:b/>
          <w:kern w:val="28"/>
          <w:szCs w:val="24"/>
          <w:highlight w:val="none"/>
        </w:rPr>
      </w:pPr>
    </w:p>
    <w:p w14:paraId="5C8C7002">
      <w:pPr>
        <w:pStyle w:val="39"/>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39"/>
        <w:spacing w:line="360" w:lineRule="auto"/>
        <w:rPr>
          <w:rFonts w:cs="Tahoma"/>
          <w:kern w:val="28"/>
          <w:szCs w:val="24"/>
          <w:highlight w:val="none"/>
        </w:rPr>
      </w:pPr>
      <w:r>
        <w:rPr>
          <w:rFonts w:hint="eastAsia" w:cs="Tahoma"/>
          <w:kern w:val="28"/>
          <w:szCs w:val="24"/>
          <w:highlight w:val="none"/>
        </w:rPr>
        <w:t>1.报名截止后，采购人会根据报名情况及时组织院内评审会议。</w:t>
      </w:r>
    </w:p>
    <w:p w14:paraId="001A4D22">
      <w:pPr>
        <w:pStyle w:val="39"/>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39"/>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9</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12</w:t>
      </w:r>
      <w:r>
        <w:rPr>
          <w:rFonts w:hint="eastAsia" w:cs="Tahoma"/>
          <w:b/>
          <w:bCs/>
          <w:color w:val="000000"/>
          <w:kern w:val="28"/>
          <w:szCs w:val="24"/>
          <w:highlight w:val="none"/>
        </w:rPr>
        <w:t>日17：30</w:t>
      </w:r>
    </w:p>
    <w:p w14:paraId="6CF29CF5">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13</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9</w:t>
      </w:r>
      <w:r>
        <w:rPr>
          <w:rFonts w:hint="eastAsia" w:cs="Tahoma"/>
          <w:b/>
          <w:bCs/>
          <w:color w:val="000000"/>
          <w:kern w:val="28"/>
          <w:szCs w:val="24"/>
          <w:highlight w:val="none"/>
        </w:rPr>
        <w:t>：00</w:t>
      </w:r>
    </w:p>
    <w:p w14:paraId="40FA91DC">
      <w:pPr>
        <w:pStyle w:val="39"/>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递交地点：中山市西区康欣路3号中山市中医院行政楼5楼508招标采购办公室</w:t>
      </w:r>
    </w:p>
    <w:p w14:paraId="085AB013">
      <w:pPr>
        <w:pStyle w:val="39"/>
        <w:spacing w:line="360" w:lineRule="auto"/>
        <w:ind w:firstLine="480" w:firstLineChars="200"/>
        <w:jc w:val="center"/>
        <w:rPr>
          <w:rFonts w:hint="eastAsia" w:cs="Tahoma"/>
          <w:b/>
          <w:color w:val="000000"/>
          <w:kern w:val="28"/>
          <w:szCs w:val="24"/>
          <w:highlight w:val="none"/>
        </w:rPr>
      </w:pPr>
    </w:p>
    <w:p w14:paraId="196C51D3">
      <w:pPr>
        <w:pStyle w:val="39"/>
        <w:spacing w:line="360" w:lineRule="auto"/>
        <w:ind w:firstLine="480" w:firstLineChars="200"/>
        <w:jc w:val="center"/>
        <w:rPr>
          <w:rFonts w:hint="eastAsia" w:cs="Tahoma"/>
          <w:b/>
          <w:color w:val="000000"/>
          <w:kern w:val="28"/>
          <w:szCs w:val="24"/>
          <w:highlight w:val="none"/>
        </w:rPr>
      </w:pPr>
    </w:p>
    <w:p w14:paraId="44B249AD">
      <w:pPr>
        <w:pStyle w:val="39"/>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、采购项目需求内容</w:t>
      </w:r>
    </w:p>
    <w:p w14:paraId="5BA72D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（一）项目概况</w:t>
      </w:r>
    </w:p>
    <w:p w14:paraId="5EEFFCA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sz w:val="24"/>
          <w:szCs w:val="24"/>
          <w:highlight w:val="none"/>
        </w:rPr>
        <w:t>项目名称：中山市中医院“防治康”一体化信息系统验收测评服务项目</w:t>
      </w:r>
    </w:p>
    <w:p w14:paraId="5E52A0A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项目概况：医院拟委托一家具备相关资质的服务公司，依据国家标准及系统需求规格说明书等相关要求，对“防治康”一体化信息系统的功能、可靠性、效率等方面进行专业的检验测评，为项目的验收提供重要依据。</w:t>
      </w:r>
    </w:p>
    <w:p w14:paraId="56BFCA2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w:t>
      </w:r>
      <w:r>
        <w:rPr>
          <w:rFonts w:hint="eastAsia" w:ascii="宋体" w:hAnsi="宋体"/>
          <w:sz w:val="24"/>
          <w:szCs w:val="24"/>
          <w:highlight w:val="none"/>
        </w:rPr>
        <w:t>服务期限：</w:t>
      </w:r>
      <w:r>
        <w:rPr>
          <w:rFonts w:hint="eastAsia" w:ascii="宋体" w:hAnsi="宋体"/>
          <w:sz w:val="24"/>
          <w:szCs w:val="24"/>
          <w:highlight w:val="none"/>
          <w:lang w:val="en-US" w:eastAsia="zh-CN"/>
        </w:rPr>
        <w:t>3</w:t>
      </w:r>
      <w:r>
        <w:rPr>
          <w:rFonts w:hint="eastAsia" w:ascii="宋体" w:hAnsi="宋体"/>
          <w:sz w:val="24"/>
          <w:szCs w:val="24"/>
          <w:highlight w:val="none"/>
        </w:rPr>
        <w:t>0天</w:t>
      </w:r>
    </w:p>
    <w:p w14:paraId="3466C2B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w:t>
      </w:r>
      <w:r>
        <w:rPr>
          <w:rFonts w:hint="eastAsia" w:ascii="宋体" w:hAnsi="宋体"/>
          <w:sz w:val="24"/>
          <w:szCs w:val="24"/>
          <w:highlight w:val="none"/>
        </w:rPr>
        <w:t>项目上限价：120</w:t>
      </w:r>
      <w:r>
        <w:rPr>
          <w:rFonts w:hint="eastAsia" w:ascii="宋体" w:hAnsi="宋体"/>
          <w:sz w:val="24"/>
          <w:szCs w:val="24"/>
          <w:highlight w:val="none"/>
          <w:lang w:val="en-US" w:eastAsia="zh-CN"/>
        </w:rPr>
        <w:t>,</w:t>
      </w:r>
      <w:r>
        <w:rPr>
          <w:rFonts w:hint="eastAsia" w:ascii="宋体" w:hAnsi="宋体"/>
          <w:sz w:val="24"/>
          <w:szCs w:val="24"/>
          <w:highlight w:val="none"/>
        </w:rPr>
        <w:t>000元，超过此上限价的报价属于无效响应。</w:t>
      </w:r>
    </w:p>
    <w:p w14:paraId="04E0833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5.报价要求：总价包干，</w:t>
      </w:r>
      <w:r>
        <w:rPr>
          <w:rFonts w:hint="eastAsia" w:ascii="宋体" w:hAnsi="宋体"/>
          <w:sz w:val="24"/>
          <w:szCs w:val="24"/>
          <w:highlight w:val="none"/>
        </w:rPr>
        <w:t>包括本项目服务所需的材料、备件消耗、运输、装卸、保险、</w:t>
      </w:r>
      <w:r>
        <w:rPr>
          <w:rFonts w:hint="eastAsia" w:ascii="宋体" w:hAnsi="宋体"/>
          <w:sz w:val="24"/>
          <w:szCs w:val="24"/>
          <w:highlight w:val="none"/>
          <w:lang w:eastAsia="zh-CN"/>
        </w:rPr>
        <w:t>人工、</w:t>
      </w:r>
      <w:r>
        <w:rPr>
          <w:rFonts w:hint="eastAsia" w:ascii="宋体" w:hAnsi="宋体"/>
          <w:sz w:val="24"/>
          <w:szCs w:val="24"/>
          <w:highlight w:val="none"/>
        </w:rPr>
        <w:t>技术调试服务、各项税费及实施过程中不可预见费用等</w:t>
      </w:r>
      <w:r>
        <w:rPr>
          <w:rFonts w:hint="eastAsia" w:ascii="宋体" w:hAnsi="宋体"/>
          <w:sz w:val="24"/>
          <w:szCs w:val="24"/>
          <w:highlight w:val="none"/>
          <w:lang w:eastAsia="zh-CN"/>
        </w:rPr>
        <w:t>，服务过程中，</w:t>
      </w:r>
      <w:r>
        <w:rPr>
          <w:rFonts w:hint="eastAsia" w:ascii="宋体" w:hAnsi="宋体"/>
          <w:sz w:val="24"/>
          <w:szCs w:val="24"/>
          <w:highlight w:val="none"/>
        </w:rPr>
        <w:t>服务商不得以清单等资料的内容不完整、存在错误或遗漏了相关工序、性能或工作量、费用等为由增加任何费用。</w:t>
      </w:r>
    </w:p>
    <w:p w14:paraId="0DE53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w:t>
      </w:r>
      <w:r>
        <w:rPr>
          <w:rFonts w:hint="eastAsia" w:ascii="宋体" w:hAnsi="宋体" w:eastAsia="宋体" w:cs="宋体"/>
          <w:b/>
          <w:sz w:val="28"/>
          <w:szCs w:val="28"/>
          <w:highlight w:val="none"/>
        </w:rPr>
        <w:t>二</w:t>
      </w:r>
      <w:r>
        <w:rPr>
          <w:rFonts w:hint="eastAsia" w:ascii="宋体" w:hAnsi="宋体" w:eastAsia="宋体" w:cs="宋体"/>
          <w:b/>
          <w:sz w:val="28"/>
          <w:szCs w:val="28"/>
          <w:highlight w:val="none"/>
          <w:lang w:eastAsia="zh-CN"/>
        </w:rPr>
        <w:t>）服务内容</w:t>
      </w:r>
      <w:r>
        <w:rPr>
          <w:rFonts w:hint="eastAsia" w:ascii="宋体" w:hAnsi="宋体" w:eastAsia="宋体" w:cs="宋体"/>
          <w:b/>
          <w:sz w:val="28"/>
          <w:szCs w:val="28"/>
          <w:highlight w:val="none"/>
        </w:rPr>
        <w:t xml:space="preserve"> </w:t>
      </w:r>
    </w:p>
    <w:p w14:paraId="6BD5038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软件成本度量</w:t>
      </w:r>
    </w:p>
    <w:p w14:paraId="6936B32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依据</w:t>
      </w:r>
      <w:r>
        <w:rPr>
          <w:rFonts w:hint="eastAsia" w:ascii="宋体" w:hAnsi="宋体"/>
          <w:sz w:val="24"/>
          <w:szCs w:val="24"/>
          <w:highlight w:val="none"/>
          <w:lang w:eastAsia="zh-CN"/>
        </w:rPr>
        <w:t>：</w:t>
      </w:r>
      <w:r>
        <w:rPr>
          <w:rFonts w:hint="eastAsia" w:ascii="宋体" w:hAnsi="宋体"/>
          <w:sz w:val="24"/>
          <w:szCs w:val="24"/>
          <w:highlight w:val="none"/>
        </w:rPr>
        <w:t>《软件测试成本度量规范》GB/T 32911-2016</w:t>
      </w:r>
      <w:r>
        <w:rPr>
          <w:rFonts w:hint="eastAsia" w:ascii="宋体" w:hAnsi="宋体"/>
          <w:sz w:val="24"/>
          <w:szCs w:val="24"/>
          <w:highlight w:val="none"/>
          <w:lang w:eastAsia="zh-CN"/>
        </w:rPr>
        <w:t>。</w:t>
      </w:r>
    </w:p>
    <w:p w14:paraId="4D8A3D4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1.2</w:t>
      </w:r>
      <w:r>
        <w:rPr>
          <w:rFonts w:hint="eastAsia" w:ascii="宋体" w:hAnsi="宋体"/>
          <w:sz w:val="24"/>
          <w:szCs w:val="24"/>
          <w:highlight w:val="none"/>
        </w:rPr>
        <w:t>识别系统边界：从用户视角出发，不受系统实现影响；事务功能应穿越识别的系统边界。</w:t>
      </w:r>
    </w:p>
    <w:p w14:paraId="2D52B07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1.3</w:t>
      </w:r>
      <w:r>
        <w:rPr>
          <w:rFonts w:hint="eastAsia" w:ascii="宋体" w:hAnsi="宋体"/>
          <w:sz w:val="24"/>
          <w:szCs w:val="24"/>
          <w:highlight w:val="none"/>
        </w:rPr>
        <w:t>识别功能点计数项：根据需求或项目文档，确定功能点计数项。</w:t>
      </w:r>
    </w:p>
    <w:p w14:paraId="75F992D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1.4</w:t>
      </w:r>
      <w:r>
        <w:rPr>
          <w:rFonts w:hint="eastAsia" w:ascii="宋体" w:hAnsi="宋体"/>
          <w:sz w:val="24"/>
          <w:szCs w:val="24"/>
          <w:highlight w:val="none"/>
        </w:rPr>
        <w:t>确定计数类型：根据需求或项目的类型确定计数类型。计数类型分为三种：新开发、延续开发及已有系统计数。</w:t>
      </w:r>
    </w:p>
    <w:p w14:paraId="38DB686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（1）对于新开发需求或项目，对预计（或实际）投产的功能进行计数。</w:t>
      </w:r>
    </w:p>
    <w:p w14:paraId="4DF4839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（2）对于延续开发需求或项目，对预计（或实际）新增、修改及删除的功能均进行计数。</w:t>
      </w:r>
    </w:p>
    <w:p w14:paraId="5576A10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（3）对于已有系统，对实际的功能进行计数。</w:t>
      </w:r>
    </w:p>
    <w:p w14:paraId="7FE65D6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软件内容测试</w:t>
      </w:r>
    </w:p>
    <w:p w14:paraId="7EA9EEC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2.1</w:t>
      </w:r>
      <w:r>
        <w:rPr>
          <w:rFonts w:hint="eastAsia" w:ascii="宋体" w:hAnsi="宋体"/>
          <w:sz w:val="24"/>
          <w:szCs w:val="24"/>
          <w:highlight w:val="none"/>
        </w:rPr>
        <w:t>测评依据</w:t>
      </w:r>
      <w:r>
        <w:rPr>
          <w:rFonts w:hint="eastAsia" w:ascii="宋体" w:hAnsi="宋体"/>
          <w:sz w:val="24"/>
          <w:szCs w:val="24"/>
          <w:highlight w:val="none"/>
          <w:lang w:eastAsia="zh-CN"/>
        </w:rPr>
        <w:t>：《</w:t>
      </w:r>
      <w:r>
        <w:rPr>
          <w:rFonts w:hint="eastAsia" w:ascii="宋体" w:hAnsi="宋体"/>
          <w:sz w:val="24"/>
          <w:szCs w:val="24"/>
          <w:highlight w:val="none"/>
        </w:rPr>
        <w:t>系统与软件工程 系统与软件质量要求和评价（SQuaRE）第51部分：就绪可用软件产品（RUSP）的质量要求和评测细则</w:t>
      </w:r>
      <w:r>
        <w:rPr>
          <w:rFonts w:hint="eastAsia" w:ascii="宋体" w:hAnsi="宋体"/>
          <w:sz w:val="24"/>
          <w:szCs w:val="24"/>
          <w:highlight w:val="none"/>
          <w:lang w:eastAsia="zh-CN"/>
        </w:rPr>
        <w:t>》</w:t>
      </w:r>
      <w:bookmarkStart w:id="0" w:name="OLE_LINK1"/>
      <w:r>
        <w:rPr>
          <w:rFonts w:hint="eastAsia" w:ascii="宋体" w:hAnsi="宋体"/>
          <w:sz w:val="24"/>
          <w:szCs w:val="24"/>
          <w:highlight w:val="none"/>
        </w:rPr>
        <w:t>GB/T 25000.51-2016</w:t>
      </w:r>
      <w:bookmarkEnd w:id="0"/>
      <w:r>
        <w:rPr>
          <w:rFonts w:hint="eastAsia" w:ascii="宋体" w:hAnsi="宋体"/>
          <w:sz w:val="24"/>
          <w:szCs w:val="24"/>
          <w:highlight w:val="none"/>
          <w:lang w:eastAsia="zh-CN"/>
        </w:rPr>
        <w:t>。</w:t>
      </w:r>
    </w:p>
    <w:p w14:paraId="0EF572AF">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2.2</w:t>
      </w:r>
      <w:r>
        <w:rPr>
          <w:rFonts w:hint="eastAsia" w:ascii="宋体" w:hAnsi="宋体"/>
          <w:sz w:val="24"/>
          <w:szCs w:val="24"/>
          <w:highlight w:val="none"/>
        </w:rPr>
        <w:t>功能性测试</w:t>
      </w:r>
      <w:r>
        <w:rPr>
          <w:rFonts w:hint="eastAsia" w:ascii="宋体" w:hAnsi="宋体"/>
          <w:sz w:val="24"/>
          <w:szCs w:val="24"/>
          <w:highlight w:val="none"/>
          <w:lang w:eastAsia="zh-CN"/>
        </w:rPr>
        <w:t>：</w:t>
      </w:r>
      <w:r>
        <w:rPr>
          <w:rFonts w:hint="eastAsia" w:ascii="宋体" w:hAnsi="宋体"/>
          <w:sz w:val="24"/>
          <w:szCs w:val="24"/>
          <w:highlight w:val="none"/>
        </w:rPr>
        <w:t>软件产品满足明确和隐含要求功能的能力。具体内容包括：完备性、正确性、恰当性、互操作性、安全保密性等。</w:t>
      </w:r>
    </w:p>
    <w:p w14:paraId="50FA106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2.3</w:t>
      </w:r>
      <w:r>
        <w:rPr>
          <w:rFonts w:hint="eastAsia" w:ascii="宋体" w:hAnsi="宋体"/>
          <w:sz w:val="24"/>
          <w:szCs w:val="24"/>
          <w:highlight w:val="none"/>
        </w:rPr>
        <w:t>可靠性测试</w:t>
      </w:r>
      <w:r>
        <w:rPr>
          <w:rFonts w:hint="eastAsia" w:ascii="宋体" w:hAnsi="宋体"/>
          <w:sz w:val="24"/>
          <w:szCs w:val="24"/>
          <w:highlight w:val="none"/>
          <w:lang w:eastAsia="zh-CN"/>
        </w:rPr>
        <w:t>：</w:t>
      </w:r>
      <w:r>
        <w:rPr>
          <w:rFonts w:hint="eastAsia" w:ascii="宋体" w:hAnsi="宋体"/>
          <w:sz w:val="24"/>
          <w:szCs w:val="24"/>
          <w:highlight w:val="none"/>
        </w:rPr>
        <w:t>软件产品维持规定的可靠性级别的能力。按照软件运行剖面对软件进行随机测试的测试方法。具体内容包括：成熟性、容错性、易恢复性等。</w:t>
      </w:r>
    </w:p>
    <w:p w14:paraId="7EE6436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2.4</w:t>
      </w:r>
      <w:r>
        <w:rPr>
          <w:rFonts w:hint="eastAsia" w:ascii="宋体" w:hAnsi="宋体"/>
          <w:sz w:val="24"/>
          <w:szCs w:val="24"/>
          <w:highlight w:val="none"/>
        </w:rPr>
        <w:t>易用性测试</w:t>
      </w:r>
      <w:r>
        <w:rPr>
          <w:rFonts w:hint="eastAsia" w:ascii="宋体" w:hAnsi="宋体"/>
          <w:sz w:val="24"/>
          <w:szCs w:val="24"/>
          <w:highlight w:val="none"/>
          <w:lang w:eastAsia="zh-CN"/>
        </w:rPr>
        <w:t>：</w:t>
      </w:r>
      <w:r>
        <w:rPr>
          <w:rFonts w:hint="eastAsia" w:ascii="宋体" w:hAnsi="宋体"/>
          <w:sz w:val="24"/>
          <w:szCs w:val="24"/>
          <w:highlight w:val="none"/>
        </w:rPr>
        <w:t>软件产品被理解、学习、使用和吸引用户的能力。关注软件使用时是否感觉方便，能否通过简单的操作达到用户的目的，界面是否美观，排版是否合理等。具体内容包括：易理解性、易学性、易操作性、吸引性等。</w:t>
      </w:r>
    </w:p>
    <w:p w14:paraId="668D9C5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2.5</w:t>
      </w:r>
      <w:r>
        <w:rPr>
          <w:rFonts w:hint="eastAsia" w:ascii="宋体" w:hAnsi="宋体"/>
          <w:sz w:val="24"/>
          <w:szCs w:val="24"/>
          <w:highlight w:val="none"/>
        </w:rPr>
        <w:t>维护性测试</w:t>
      </w:r>
      <w:r>
        <w:rPr>
          <w:rFonts w:hint="eastAsia" w:ascii="宋体" w:hAnsi="宋体"/>
          <w:sz w:val="24"/>
          <w:szCs w:val="24"/>
          <w:highlight w:val="none"/>
          <w:lang w:eastAsia="zh-CN"/>
        </w:rPr>
        <w:t>：</w:t>
      </w:r>
      <w:r>
        <w:rPr>
          <w:rFonts w:hint="eastAsia" w:ascii="宋体" w:hAnsi="宋体"/>
          <w:sz w:val="24"/>
          <w:szCs w:val="24"/>
          <w:highlight w:val="none"/>
        </w:rPr>
        <w:t>软件产品可被修改的能力。修改可能包括修正、改进或软件适应环境、需求和功能规格说明中的变化。具体内容包括：易分析性、易改变性、稳定性、易测试性、维护性依从性。</w:t>
      </w:r>
    </w:p>
    <w:p w14:paraId="3DA168E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2.6</w:t>
      </w:r>
      <w:r>
        <w:rPr>
          <w:rFonts w:hint="eastAsia" w:ascii="宋体" w:hAnsi="宋体"/>
          <w:sz w:val="24"/>
          <w:szCs w:val="24"/>
          <w:highlight w:val="none"/>
        </w:rPr>
        <w:t>移植性测试</w:t>
      </w:r>
      <w:r>
        <w:rPr>
          <w:rFonts w:hint="eastAsia" w:ascii="宋体" w:hAnsi="宋体"/>
          <w:sz w:val="24"/>
          <w:szCs w:val="24"/>
          <w:highlight w:val="none"/>
          <w:lang w:eastAsia="zh-CN"/>
        </w:rPr>
        <w:t>：</w:t>
      </w:r>
      <w:r>
        <w:rPr>
          <w:rFonts w:hint="eastAsia" w:ascii="宋体" w:hAnsi="宋体"/>
          <w:sz w:val="24"/>
          <w:szCs w:val="24"/>
          <w:highlight w:val="none"/>
        </w:rPr>
        <w:t>软件产品从一种环境迁移到另外一种环境的能力。具体内容包括：适应性、易安装性、共存性、易替换性、可移植性依从性等。</w:t>
      </w:r>
    </w:p>
    <w:p w14:paraId="1E9EC1D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2.7</w:t>
      </w:r>
      <w:r>
        <w:rPr>
          <w:rFonts w:hint="eastAsia" w:ascii="宋体" w:hAnsi="宋体"/>
          <w:sz w:val="24"/>
          <w:szCs w:val="24"/>
          <w:highlight w:val="none"/>
        </w:rPr>
        <w:t>产品说明要求测试</w:t>
      </w:r>
      <w:r>
        <w:rPr>
          <w:rFonts w:hint="eastAsia" w:ascii="宋体" w:hAnsi="宋体"/>
          <w:sz w:val="24"/>
          <w:szCs w:val="24"/>
          <w:highlight w:val="none"/>
          <w:lang w:eastAsia="zh-CN"/>
        </w:rPr>
        <w:t>：</w:t>
      </w:r>
      <w:r>
        <w:rPr>
          <w:rFonts w:hint="eastAsia" w:ascii="宋体" w:hAnsi="宋体"/>
          <w:sz w:val="24"/>
          <w:szCs w:val="24"/>
          <w:highlight w:val="none"/>
        </w:rPr>
        <w:t>软件产品说明中所涉及的系统说明如：性能、接口、所需的软件和硬件环境、产品所提供的支持服务等是否与软件实际、设计文档、用户需求等相符。</w:t>
      </w:r>
    </w:p>
    <w:p w14:paraId="0E9FB7A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2.8</w:t>
      </w:r>
      <w:r>
        <w:rPr>
          <w:rFonts w:hint="eastAsia" w:ascii="宋体" w:hAnsi="宋体"/>
          <w:sz w:val="24"/>
          <w:szCs w:val="24"/>
          <w:highlight w:val="none"/>
        </w:rPr>
        <w:t>用户文档测试</w:t>
      </w:r>
      <w:r>
        <w:rPr>
          <w:rFonts w:hint="eastAsia" w:ascii="宋体" w:hAnsi="宋体"/>
          <w:sz w:val="24"/>
          <w:szCs w:val="24"/>
          <w:highlight w:val="none"/>
          <w:lang w:eastAsia="zh-CN"/>
        </w:rPr>
        <w:t>：</w:t>
      </w:r>
      <w:r>
        <w:rPr>
          <w:rFonts w:hint="eastAsia" w:ascii="宋体" w:hAnsi="宋体"/>
          <w:sz w:val="24"/>
          <w:szCs w:val="24"/>
          <w:highlight w:val="none"/>
        </w:rPr>
        <w:t>用户文档是否包含使用该软件所必须要的信息、所陈述的功能以及最终用户能调用的功能、可靠性特征及其操作、可能导致数据丢失的系统终止或结束条件、是否给出必要数据的备份和恢复指南、对所有关键功能是否提供完备的细则信息和参考信息等，便于用户使用、操作、维护等。用户文档及相关材料是否有软件实际相符。</w:t>
      </w:r>
    </w:p>
    <w:p w14:paraId="244F4127">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3.服务人员要求：服务团队应配备具有以下资格证书：计算机技术与软件专业技术资格信息系统项目管理师（高级）证书、计算机技术与软件专业技术资格软件评测师（中级）或以上证书、计算机技术与软件专业技术资格信息系统管理工程师（中级）或以上证书、公安部信息安全等级保护评估中心颁发的国家重要信息系统保护人员证书（CIIP-A）、人力资源部相关单位颁发的网络与信息安全管理员证书、CNAS实验室和CMA检验检测机构授权资格等。</w:t>
      </w:r>
    </w:p>
    <w:p w14:paraId="12F94E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三</w:t>
      </w: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项目要求</w:t>
      </w:r>
    </w:p>
    <w:p w14:paraId="55098783">
      <w:pPr>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val="en-US" w:eastAsia="zh-CN"/>
        </w:rPr>
        <w:t>1.</w:t>
      </w:r>
      <w:r>
        <w:rPr>
          <w:rFonts w:hint="eastAsia" w:ascii="宋体" w:hAnsi="宋体"/>
          <w:sz w:val="24"/>
          <w:szCs w:val="24"/>
          <w:highlight w:val="none"/>
          <w:lang w:eastAsia="zh-CN"/>
        </w:rPr>
        <w:t>服务商须严格对照</w:t>
      </w:r>
      <w:r>
        <w:rPr>
          <w:rFonts w:hint="eastAsia" w:ascii="宋体" w:hAnsi="宋体"/>
          <w:sz w:val="24"/>
          <w:szCs w:val="24"/>
          <w:highlight w:val="none"/>
        </w:rPr>
        <w:t>系统需求规格说明书</w:t>
      </w:r>
      <w:r>
        <w:rPr>
          <w:rFonts w:hint="eastAsia" w:ascii="宋体" w:hAnsi="宋体"/>
          <w:sz w:val="24"/>
          <w:szCs w:val="24"/>
          <w:highlight w:val="none"/>
          <w:lang w:eastAsia="zh-CN"/>
        </w:rPr>
        <w:t>等相关</w:t>
      </w:r>
      <w:r>
        <w:rPr>
          <w:rFonts w:hint="eastAsia" w:ascii="宋体" w:hAnsi="宋体"/>
          <w:sz w:val="24"/>
          <w:szCs w:val="24"/>
          <w:highlight w:val="none"/>
        </w:rPr>
        <w:t>要求</w:t>
      </w:r>
      <w:r>
        <w:rPr>
          <w:rFonts w:hint="eastAsia" w:ascii="宋体" w:hAnsi="宋体"/>
          <w:sz w:val="24"/>
          <w:szCs w:val="24"/>
          <w:highlight w:val="none"/>
          <w:lang w:eastAsia="zh-CN"/>
        </w:rPr>
        <w:t>，按照国家、行业相关标准规范进行测评，并出具测评报告。</w:t>
      </w:r>
    </w:p>
    <w:p w14:paraId="22A96A6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lang w:eastAsia="zh-CN"/>
        </w:rPr>
        <w:t>服务商须</w:t>
      </w:r>
      <w:r>
        <w:rPr>
          <w:rFonts w:hint="eastAsia" w:ascii="宋体" w:hAnsi="宋体"/>
          <w:sz w:val="24"/>
          <w:szCs w:val="24"/>
          <w:highlight w:val="none"/>
        </w:rPr>
        <w:t>确保测试工作的客观性、公正性、专业性、权威性。</w:t>
      </w:r>
    </w:p>
    <w:p w14:paraId="6F24F53C">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3.保密要求</w:t>
      </w:r>
    </w:p>
    <w:p w14:paraId="4FAB34F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3.1供应商应遵守采购人各项规章制度、工作流程和安全保密规定，接受采购人日常工作管理，做好安全检查与防范工作。</w:t>
      </w:r>
    </w:p>
    <w:p w14:paraId="34B22D97">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3.2供应商须和采购人签订合作企业、合作人员安全保密承诺书，接受采购人安全审查，遵守采购人运维场地要求和设备安全要求。</w:t>
      </w:r>
    </w:p>
    <w:p w14:paraId="67DDAD6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3.3供应商对采购人所提供的所有资料以及在合同签订、履行过程中所接触到的采购人及其关联公司的商业秘密、技术文件等资料（统称“保密资料”）负有保密义务。</w:t>
      </w:r>
    </w:p>
    <w:p w14:paraId="1CC4D89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3.4未经采购人书面同意，供应商不得直接、间接地透露或提供本项目相关资料以及保密资料给任何第三方，或用于本合同约定事项以外的其他用途；不得擅自扩大与合作事项相关信息的知悉范围，要及时清除、收回离职离岗或者不再参与信息化建设或运维人员持有的采购人文档资料、数据等。供应商可仅为合同目的向其内部有知悉保密资料必要的雇员披露保密资料，但同时须指示其雇员遵守本条规定的保密及不披露义务。</w:t>
      </w:r>
    </w:p>
    <w:p w14:paraId="3B5C1B9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3.5供应商仅可以在履行合同之目的对保密资料进行复制。供应商不得以任何方式（如软硬盘、图纸、照片、光盘等）留存保密资料。供应商应当在完成委托事项或本合同终止、解除时，将保密资料原件全部返还采购人，并销毁所有复制件。供应商应当妥善保管保密资料，并对保密资料发生的被盗、泄露或其他有损保密资料保密性的事件承担全部责任。</w:t>
      </w:r>
    </w:p>
    <w:p w14:paraId="2EC489E3">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rPr>
        <w:t>3.6供应商与采购人签署保密协议，保密条款自保密资料提供或披露之日起至永久有效。未经采购人同意不得向第三方泄露此项目相关情况。服务中产生的所有资料、技术文档要妥善保管，不得遗失、转借、复印，严禁通过互联网等公共信息网络、普通邮政进行传递。</w:t>
      </w:r>
    </w:p>
    <w:p w14:paraId="1EB7B4A9">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3.7</w:t>
      </w:r>
      <w:r>
        <w:rPr>
          <w:rFonts w:hint="eastAsia" w:ascii="宋体" w:hAnsi="宋体"/>
          <w:sz w:val="24"/>
          <w:szCs w:val="24"/>
          <w:highlight w:val="none"/>
        </w:rPr>
        <w:t>服务商若违反保密协议、未履行相关职责或教育、监督措施落实不到位，发生参与本项目人员窃取或泄露国家秘密、警务秘密的事件，将按照《中华人民共和国保守国家秘密法》等有关法律法规追究其相应的责任。</w:t>
      </w:r>
    </w:p>
    <w:p w14:paraId="2C34A619">
      <w:pPr>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4.</w:t>
      </w:r>
      <w:r>
        <w:rPr>
          <w:rFonts w:hint="eastAsia" w:ascii="宋体" w:hAnsi="宋体"/>
          <w:sz w:val="24"/>
          <w:szCs w:val="24"/>
          <w:highlight w:val="none"/>
        </w:rPr>
        <w:t>依据GB/T 8567-2006《计算机软件文档编制规范》进行文档审核；通过功能测试，验证被测系统的业务逻辑、功能逻辑和功能点是否符合《需求规格说明书》中的要求；通过对性能、安全性、可靠性、易用性、维护性、可移植性等各项特性进行测试，验证被测系统是否符合《需求规格说明书》中对软件特性的要求</w:t>
      </w:r>
      <w:r>
        <w:rPr>
          <w:rFonts w:hint="eastAsia" w:ascii="宋体" w:hAnsi="宋体"/>
          <w:sz w:val="24"/>
          <w:szCs w:val="24"/>
          <w:highlight w:val="none"/>
          <w:lang w:eastAsia="zh-CN"/>
        </w:rPr>
        <w:t>，</w:t>
      </w:r>
      <w:r>
        <w:rPr>
          <w:rFonts w:hint="eastAsia" w:ascii="宋体" w:hAnsi="宋体"/>
          <w:sz w:val="24"/>
          <w:szCs w:val="24"/>
          <w:highlight w:val="none"/>
          <w:lang w:val="en-US" w:eastAsia="zh-CN"/>
        </w:rPr>
        <w:t>出具符合相关标准的《信息工程验收测试报告》。</w:t>
      </w:r>
    </w:p>
    <w:p w14:paraId="79CF7B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四</w:t>
      </w:r>
      <w:r>
        <w:rPr>
          <w:rFonts w:hint="eastAsia" w:ascii="宋体" w:hAnsi="宋体" w:cs="宋体"/>
          <w:b/>
          <w:sz w:val="28"/>
          <w:szCs w:val="28"/>
          <w:highlight w:val="none"/>
          <w:lang w:val="en-US" w:eastAsia="zh-CN"/>
        </w:rPr>
        <w:t>）</w:t>
      </w:r>
      <w:r>
        <w:rPr>
          <w:rFonts w:hint="eastAsia" w:ascii="宋体" w:hAnsi="宋体" w:eastAsia="宋体" w:cs="宋体"/>
          <w:b/>
          <w:sz w:val="28"/>
          <w:szCs w:val="28"/>
          <w:highlight w:val="none"/>
          <w:lang w:val="en-US" w:eastAsia="zh-CN"/>
        </w:rPr>
        <w:t>结算</w:t>
      </w:r>
    </w:p>
    <w:p w14:paraId="11FFFF5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服务</w:t>
      </w:r>
      <w:r>
        <w:rPr>
          <w:rFonts w:hint="eastAsia" w:ascii="宋体" w:hAnsi="宋体"/>
          <w:sz w:val="24"/>
          <w:szCs w:val="24"/>
          <w:highlight w:val="none"/>
        </w:rPr>
        <w:t>商完成项目测评工作并出具相应的测评报告，</w:t>
      </w:r>
      <w:r>
        <w:rPr>
          <w:rFonts w:hint="eastAsia" w:ascii="宋体" w:hAnsi="宋体"/>
          <w:sz w:val="24"/>
          <w:szCs w:val="24"/>
          <w:highlight w:val="none"/>
          <w:lang w:eastAsia="zh-CN"/>
        </w:rPr>
        <w:t>经采购人验收通过后，</w:t>
      </w:r>
      <w:r>
        <w:rPr>
          <w:rFonts w:hint="eastAsia" w:ascii="宋体" w:hAnsi="宋体"/>
          <w:sz w:val="24"/>
          <w:szCs w:val="24"/>
          <w:highlight w:val="none"/>
        </w:rPr>
        <w:t>服务商开具对应金额的正规发票，采购人收齐上述资料后60个自然日支付相应款项。</w:t>
      </w:r>
    </w:p>
    <w:p w14:paraId="53D7AAD2">
      <w:pPr>
        <w:jc w:val="center"/>
        <w:rPr>
          <w:rFonts w:hint="eastAsia"/>
          <w:b/>
          <w:sz w:val="36"/>
          <w:szCs w:val="36"/>
          <w:highlight w:val="none"/>
          <w:lang w:val="en-US" w:eastAsia="zh-CN"/>
        </w:rPr>
      </w:pP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39"/>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（一）本次采购活动采用综合评分法，技术商务分占</w:t>
      </w:r>
      <w:r>
        <w:rPr>
          <w:rFonts w:hint="eastAsia" w:cs="Tahoma"/>
          <w:b/>
          <w:color w:val="C00000"/>
          <w:kern w:val="28"/>
          <w:szCs w:val="24"/>
          <w:highlight w:val="none"/>
          <w:lang w:val="en-US" w:eastAsia="zh-CN"/>
        </w:rPr>
        <w:t>80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2</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39"/>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18"/>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410"/>
        <w:gridCol w:w="930"/>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410" w:type="dxa"/>
            <w:noWrap w:val="0"/>
            <w:vAlign w:val="center"/>
          </w:tcPr>
          <w:p w14:paraId="45BAF803">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30" w:type="dxa"/>
            <w:noWrap w:val="0"/>
            <w:vAlign w:val="center"/>
          </w:tcPr>
          <w:p w14:paraId="04A14F1F">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410"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总体测评实施方案 </w:t>
            </w:r>
          </w:p>
        </w:tc>
        <w:tc>
          <w:tcPr>
            <w:tcW w:w="930" w:type="dxa"/>
            <w:noWrap w:val="0"/>
            <w:vAlign w:val="center"/>
          </w:tcPr>
          <w:p w14:paraId="3E5F12A4">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25</w:t>
            </w:r>
          </w:p>
        </w:tc>
        <w:tc>
          <w:tcPr>
            <w:tcW w:w="8552" w:type="dxa"/>
            <w:noWrap w:val="0"/>
            <w:vAlign w:val="center"/>
          </w:tcPr>
          <w:p w14:paraId="699566F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根据</w:t>
            </w:r>
            <w:r>
              <w:rPr>
                <w:rFonts w:hint="eastAsia" w:ascii="宋体" w:hAnsi="宋体" w:cs="宋体"/>
                <w:color w:val="000000"/>
                <w:kern w:val="28"/>
                <w:sz w:val="24"/>
                <w:szCs w:val="24"/>
                <w:highlight w:val="none"/>
                <w:lang w:val="en-US" w:eastAsia="zh-CN" w:bidi="ar-SA"/>
              </w:rPr>
              <w:t>响应供应商</w:t>
            </w:r>
            <w:r>
              <w:rPr>
                <w:rFonts w:hint="eastAsia" w:ascii="宋体" w:hAnsi="宋体" w:eastAsia="宋体" w:cs="宋体"/>
                <w:color w:val="000000"/>
                <w:kern w:val="28"/>
                <w:sz w:val="24"/>
                <w:szCs w:val="24"/>
                <w:highlight w:val="none"/>
                <w:lang w:val="en-US" w:eastAsia="zh-CN" w:bidi="ar-SA"/>
              </w:rPr>
              <w:t xml:space="preserve">提供的的总体测评实施方案（包括但不限于针对本项目服务内容提出具体组织落实措施、实施计划、工作流程等）进行评审： </w:t>
            </w:r>
          </w:p>
          <w:p w14:paraId="170AD80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（1）实施方案全面详细、科学合理，可行性及可操作性强，完全满足且优于采购需求，得</w:t>
            </w:r>
            <w:r>
              <w:rPr>
                <w:rFonts w:hint="eastAsia" w:ascii="宋体" w:hAnsi="宋体" w:cs="宋体"/>
                <w:color w:val="000000"/>
                <w:kern w:val="28"/>
                <w:sz w:val="24"/>
                <w:szCs w:val="24"/>
                <w:highlight w:val="none"/>
                <w:lang w:val="en-US" w:eastAsia="zh-CN" w:bidi="ar-SA"/>
              </w:rPr>
              <w:t>25</w:t>
            </w:r>
            <w:r>
              <w:rPr>
                <w:rFonts w:hint="eastAsia" w:ascii="宋体" w:hAnsi="宋体" w:eastAsia="宋体" w:cs="宋体"/>
                <w:color w:val="000000"/>
                <w:kern w:val="28"/>
                <w:sz w:val="24"/>
                <w:szCs w:val="24"/>
                <w:highlight w:val="none"/>
                <w:lang w:val="en-US" w:eastAsia="zh-CN" w:bidi="ar-SA"/>
              </w:rPr>
              <w:t xml:space="preserve">分。 </w:t>
            </w:r>
          </w:p>
          <w:p w14:paraId="754F4340">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（2）实施方案基本完整、基本合理可行，</w:t>
            </w:r>
            <w:r>
              <w:rPr>
                <w:rFonts w:hint="eastAsia" w:ascii="宋体" w:hAnsi="宋体" w:cs="宋体"/>
                <w:color w:val="000000"/>
                <w:kern w:val="28"/>
                <w:sz w:val="24"/>
                <w:szCs w:val="24"/>
                <w:highlight w:val="none"/>
                <w:lang w:val="en-US" w:eastAsia="zh-CN" w:bidi="ar-SA"/>
              </w:rPr>
              <w:t>基本</w:t>
            </w:r>
            <w:r>
              <w:rPr>
                <w:rFonts w:hint="eastAsia" w:ascii="宋体" w:hAnsi="宋体" w:eastAsia="宋体" w:cs="宋体"/>
                <w:color w:val="000000"/>
                <w:kern w:val="28"/>
                <w:sz w:val="24"/>
                <w:szCs w:val="24"/>
                <w:highlight w:val="none"/>
                <w:lang w:val="en-US" w:eastAsia="zh-CN" w:bidi="ar-SA"/>
              </w:rPr>
              <w:t>满足采购需求得</w:t>
            </w:r>
            <w:r>
              <w:rPr>
                <w:rFonts w:hint="eastAsia" w:ascii="宋体" w:hAnsi="宋体" w:cs="宋体"/>
                <w:color w:val="000000"/>
                <w:kern w:val="28"/>
                <w:sz w:val="24"/>
                <w:szCs w:val="24"/>
                <w:highlight w:val="none"/>
                <w:lang w:val="en-US" w:eastAsia="zh-CN" w:bidi="ar-SA"/>
              </w:rPr>
              <w:t>20</w:t>
            </w:r>
            <w:r>
              <w:rPr>
                <w:rFonts w:hint="eastAsia" w:ascii="宋体" w:hAnsi="宋体" w:eastAsia="宋体" w:cs="宋体"/>
                <w:color w:val="000000"/>
                <w:kern w:val="28"/>
                <w:sz w:val="24"/>
                <w:szCs w:val="24"/>
                <w:highlight w:val="none"/>
                <w:lang w:val="en-US" w:eastAsia="zh-CN" w:bidi="ar-SA"/>
              </w:rPr>
              <w:t xml:space="preserve">分。 </w:t>
            </w:r>
          </w:p>
          <w:p w14:paraId="641E6FA0">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（3）实施方案合理性、可行性一般，部分满足采购需求，得</w:t>
            </w:r>
            <w:r>
              <w:rPr>
                <w:rFonts w:hint="eastAsia" w:ascii="宋体" w:hAnsi="宋体" w:cs="宋体"/>
                <w:color w:val="000000"/>
                <w:kern w:val="28"/>
                <w:sz w:val="24"/>
                <w:szCs w:val="24"/>
                <w:highlight w:val="none"/>
                <w:lang w:val="en-US" w:eastAsia="zh-CN" w:bidi="ar-SA"/>
              </w:rPr>
              <w:t>15</w:t>
            </w:r>
            <w:r>
              <w:rPr>
                <w:rFonts w:hint="eastAsia" w:ascii="宋体" w:hAnsi="宋体" w:eastAsia="宋体" w:cs="宋体"/>
                <w:color w:val="000000"/>
                <w:kern w:val="28"/>
                <w:sz w:val="24"/>
                <w:szCs w:val="24"/>
                <w:highlight w:val="none"/>
                <w:lang w:val="en-US" w:eastAsia="zh-CN" w:bidi="ar-SA"/>
              </w:rPr>
              <w:t xml:space="preserve">分。 </w:t>
            </w:r>
          </w:p>
          <w:p w14:paraId="09202A8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（4）实施方案不够合理可行，不能完全满足采购需求，得</w:t>
            </w:r>
            <w:r>
              <w:rPr>
                <w:rFonts w:hint="eastAsia" w:ascii="宋体" w:hAnsi="宋体" w:cs="宋体"/>
                <w:color w:val="000000"/>
                <w:kern w:val="28"/>
                <w:sz w:val="24"/>
                <w:szCs w:val="24"/>
                <w:highlight w:val="none"/>
                <w:lang w:val="en-US" w:eastAsia="zh-CN" w:bidi="ar-SA"/>
              </w:rPr>
              <w:t>10</w:t>
            </w:r>
            <w:r>
              <w:rPr>
                <w:rFonts w:hint="eastAsia" w:ascii="宋体" w:hAnsi="宋体" w:eastAsia="宋体" w:cs="宋体"/>
                <w:color w:val="000000"/>
                <w:kern w:val="28"/>
                <w:sz w:val="24"/>
                <w:szCs w:val="24"/>
                <w:highlight w:val="none"/>
                <w:lang w:val="en-US" w:eastAsia="zh-CN" w:bidi="ar-SA"/>
              </w:rPr>
              <w:t xml:space="preserve">分。 </w:t>
            </w:r>
          </w:p>
          <w:p w14:paraId="2B4452F1">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（5）</w:t>
            </w:r>
            <w:r>
              <w:rPr>
                <w:rFonts w:hint="eastAsia" w:ascii="宋体" w:hAnsi="宋体" w:cs="宋体"/>
                <w:color w:val="000000"/>
                <w:kern w:val="28"/>
                <w:sz w:val="24"/>
                <w:szCs w:val="24"/>
                <w:highlight w:val="none"/>
                <w:lang w:val="en-US" w:eastAsia="zh-CN" w:bidi="ar-SA"/>
              </w:rPr>
              <w:t>不</w:t>
            </w:r>
            <w:r>
              <w:rPr>
                <w:rFonts w:hint="eastAsia" w:ascii="宋体" w:hAnsi="宋体" w:eastAsia="宋体" w:cs="宋体"/>
                <w:color w:val="000000"/>
                <w:kern w:val="28"/>
                <w:sz w:val="24"/>
                <w:szCs w:val="24"/>
                <w:highlight w:val="none"/>
                <w:lang w:val="en-US" w:eastAsia="zh-CN" w:bidi="ar-SA"/>
              </w:rPr>
              <w:t>提供</w:t>
            </w:r>
            <w:r>
              <w:rPr>
                <w:rFonts w:hint="eastAsia" w:ascii="宋体" w:hAnsi="宋体" w:cs="宋体"/>
                <w:color w:val="000000"/>
                <w:kern w:val="28"/>
                <w:sz w:val="24"/>
                <w:szCs w:val="24"/>
                <w:highlight w:val="none"/>
                <w:lang w:val="en-US" w:eastAsia="zh-CN" w:bidi="ar-SA"/>
              </w:rPr>
              <w:t>方案</w:t>
            </w:r>
            <w:r>
              <w:rPr>
                <w:rFonts w:hint="eastAsia" w:ascii="宋体" w:hAnsi="宋体" w:eastAsia="宋体" w:cs="宋体"/>
                <w:color w:val="000000"/>
                <w:kern w:val="28"/>
                <w:sz w:val="24"/>
                <w:szCs w:val="24"/>
                <w:highlight w:val="none"/>
                <w:lang w:val="en-US" w:eastAsia="zh-CN" w:bidi="ar-SA"/>
              </w:rPr>
              <w:t>，得0分。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c>
          <w:tcPr>
            <w:tcW w:w="1410"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信息应用系统</w:t>
            </w:r>
            <w:r>
              <w:rPr>
                <w:rFonts w:hint="eastAsia" w:ascii="宋体" w:hAnsi="宋体" w:cs="宋体"/>
                <w:color w:val="000000"/>
                <w:kern w:val="28"/>
                <w:sz w:val="24"/>
                <w:szCs w:val="24"/>
                <w:highlight w:val="none"/>
                <w:lang w:val="en-US" w:eastAsia="zh-CN" w:bidi="ar-SA"/>
              </w:rPr>
              <w:t>软件</w:t>
            </w:r>
            <w:r>
              <w:rPr>
                <w:rFonts w:hint="eastAsia" w:ascii="宋体" w:hAnsi="宋体" w:eastAsia="宋体" w:cs="宋体"/>
                <w:color w:val="000000"/>
                <w:kern w:val="28"/>
                <w:sz w:val="24"/>
                <w:szCs w:val="24"/>
                <w:highlight w:val="none"/>
                <w:lang w:val="en-US" w:eastAsia="zh-CN" w:bidi="ar-SA"/>
              </w:rPr>
              <w:t xml:space="preserve">测试需求的响应方案 </w:t>
            </w:r>
          </w:p>
        </w:tc>
        <w:tc>
          <w:tcPr>
            <w:tcW w:w="930" w:type="dxa"/>
            <w:noWrap w:val="0"/>
            <w:vAlign w:val="center"/>
          </w:tcPr>
          <w:p w14:paraId="3F450F02">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20</w:t>
            </w:r>
          </w:p>
        </w:tc>
        <w:tc>
          <w:tcPr>
            <w:tcW w:w="8552" w:type="dxa"/>
            <w:noWrap w:val="0"/>
            <w:vAlign w:val="center"/>
          </w:tcPr>
          <w:p w14:paraId="18625B26">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根据</w:t>
            </w:r>
            <w:r>
              <w:rPr>
                <w:rFonts w:hint="eastAsia" w:ascii="宋体" w:hAnsi="宋体" w:cs="宋体"/>
                <w:color w:val="000000"/>
                <w:kern w:val="28"/>
                <w:sz w:val="24"/>
                <w:szCs w:val="24"/>
                <w:highlight w:val="none"/>
                <w:lang w:val="en-US" w:eastAsia="zh-CN" w:bidi="ar-SA"/>
              </w:rPr>
              <w:t>响应供应商</w:t>
            </w:r>
            <w:r>
              <w:rPr>
                <w:rFonts w:hint="eastAsia" w:ascii="宋体" w:hAnsi="宋体" w:eastAsia="宋体" w:cs="宋体"/>
                <w:color w:val="000000"/>
                <w:kern w:val="28"/>
                <w:sz w:val="24"/>
                <w:szCs w:val="24"/>
                <w:highlight w:val="none"/>
                <w:lang w:val="en-US" w:eastAsia="zh-CN" w:bidi="ar-SA"/>
              </w:rPr>
              <w:t>提供的信息应用系统</w:t>
            </w:r>
            <w:r>
              <w:rPr>
                <w:rFonts w:hint="eastAsia" w:ascii="宋体" w:hAnsi="宋体" w:cs="宋体"/>
                <w:color w:val="000000"/>
                <w:kern w:val="28"/>
                <w:sz w:val="24"/>
                <w:szCs w:val="24"/>
                <w:highlight w:val="none"/>
                <w:lang w:val="en-US" w:eastAsia="zh-CN" w:bidi="ar-SA"/>
              </w:rPr>
              <w:t>软件</w:t>
            </w:r>
            <w:r>
              <w:rPr>
                <w:rFonts w:hint="eastAsia" w:ascii="宋体" w:hAnsi="宋体" w:eastAsia="宋体" w:cs="宋体"/>
                <w:color w:val="000000"/>
                <w:kern w:val="28"/>
                <w:sz w:val="24"/>
                <w:szCs w:val="24"/>
                <w:highlight w:val="none"/>
                <w:lang w:val="en-US" w:eastAsia="zh-CN" w:bidi="ar-SA"/>
              </w:rPr>
              <w:t>测试需求的响应方案（包括但不限于功能测试、可靠性测试、</w:t>
            </w:r>
            <w:r>
              <w:rPr>
                <w:rFonts w:hint="eastAsia" w:ascii="宋体" w:hAnsi="宋体"/>
                <w:sz w:val="24"/>
                <w:szCs w:val="24"/>
                <w:highlight w:val="none"/>
              </w:rPr>
              <w:t>易用性测试</w:t>
            </w:r>
            <w:r>
              <w:rPr>
                <w:rFonts w:hint="eastAsia" w:ascii="宋体" w:hAnsi="宋体" w:eastAsia="宋体" w:cs="宋体"/>
                <w:color w:val="000000"/>
                <w:kern w:val="28"/>
                <w:sz w:val="24"/>
                <w:szCs w:val="24"/>
                <w:highlight w:val="none"/>
                <w:lang w:val="en-US" w:eastAsia="zh-CN" w:bidi="ar-SA"/>
              </w:rPr>
              <w:t>、</w:t>
            </w:r>
            <w:r>
              <w:rPr>
                <w:rFonts w:hint="eastAsia" w:ascii="宋体" w:hAnsi="宋体"/>
                <w:sz w:val="24"/>
                <w:szCs w:val="24"/>
                <w:highlight w:val="none"/>
              </w:rPr>
              <w:t>维护性测试</w:t>
            </w:r>
            <w:r>
              <w:rPr>
                <w:rFonts w:hint="eastAsia" w:ascii="宋体" w:hAnsi="宋体"/>
                <w:sz w:val="24"/>
                <w:szCs w:val="24"/>
                <w:highlight w:val="none"/>
                <w:lang w:eastAsia="zh-CN"/>
              </w:rPr>
              <w:t>、</w:t>
            </w:r>
            <w:r>
              <w:rPr>
                <w:rFonts w:hint="eastAsia" w:ascii="宋体" w:hAnsi="宋体"/>
                <w:sz w:val="24"/>
                <w:szCs w:val="24"/>
                <w:highlight w:val="none"/>
              </w:rPr>
              <w:t>移植性测试</w:t>
            </w:r>
            <w:r>
              <w:rPr>
                <w:rFonts w:hint="eastAsia" w:ascii="宋体" w:hAnsi="宋体"/>
                <w:sz w:val="24"/>
                <w:szCs w:val="24"/>
                <w:highlight w:val="none"/>
                <w:lang w:eastAsia="zh-CN"/>
              </w:rPr>
              <w:t>、</w:t>
            </w:r>
            <w:r>
              <w:rPr>
                <w:rFonts w:hint="eastAsia" w:ascii="宋体" w:hAnsi="宋体"/>
                <w:sz w:val="24"/>
                <w:szCs w:val="24"/>
                <w:highlight w:val="none"/>
              </w:rPr>
              <w:t>产品说明要求测试</w:t>
            </w:r>
            <w:r>
              <w:rPr>
                <w:rFonts w:hint="eastAsia" w:ascii="宋体" w:hAnsi="宋体"/>
                <w:sz w:val="24"/>
                <w:szCs w:val="24"/>
                <w:highlight w:val="none"/>
                <w:lang w:eastAsia="zh-CN"/>
              </w:rPr>
              <w:t>、</w:t>
            </w:r>
            <w:r>
              <w:rPr>
                <w:rFonts w:hint="eastAsia" w:ascii="宋体" w:hAnsi="宋体"/>
                <w:sz w:val="24"/>
                <w:szCs w:val="24"/>
                <w:highlight w:val="none"/>
              </w:rPr>
              <w:t>用户文档测试</w:t>
            </w:r>
            <w:r>
              <w:rPr>
                <w:rFonts w:hint="eastAsia" w:ascii="宋体" w:hAnsi="宋体" w:eastAsia="宋体" w:cs="宋体"/>
                <w:color w:val="000000"/>
                <w:kern w:val="28"/>
                <w:sz w:val="24"/>
                <w:szCs w:val="24"/>
                <w:highlight w:val="none"/>
                <w:lang w:val="en-US" w:eastAsia="zh-CN" w:bidi="ar-SA"/>
              </w:rPr>
              <w:t xml:space="preserve">等）进行评审： </w:t>
            </w:r>
          </w:p>
          <w:p w14:paraId="5AEC1C94">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（1）响应方案完整详细、合理，可行性高，完全满足且优于采购需求，得</w:t>
            </w:r>
            <w:r>
              <w:rPr>
                <w:rFonts w:hint="eastAsia" w:ascii="宋体" w:hAnsi="宋体" w:cs="宋体"/>
                <w:color w:val="000000"/>
                <w:kern w:val="28"/>
                <w:sz w:val="24"/>
                <w:szCs w:val="24"/>
                <w:highlight w:val="none"/>
                <w:lang w:val="en-US" w:eastAsia="zh-CN" w:bidi="ar-SA"/>
              </w:rPr>
              <w:t>20</w:t>
            </w:r>
            <w:r>
              <w:rPr>
                <w:rFonts w:hint="eastAsia" w:ascii="宋体" w:hAnsi="宋体" w:eastAsia="宋体" w:cs="宋体"/>
                <w:color w:val="000000"/>
                <w:kern w:val="28"/>
                <w:sz w:val="24"/>
                <w:szCs w:val="24"/>
                <w:highlight w:val="none"/>
                <w:lang w:val="en-US" w:eastAsia="zh-CN" w:bidi="ar-SA"/>
              </w:rPr>
              <w:t>分。 （2）响应方案基本完整、基本合理可行，</w:t>
            </w:r>
            <w:r>
              <w:rPr>
                <w:rFonts w:hint="eastAsia" w:ascii="宋体" w:hAnsi="宋体" w:cs="宋体"/>
                <w:color w:val="000000"/>
                <w:kern w:val="28"/>
                <w:sz w:val="24"/>
                <w:szCs w:val="24"/>
                <w:highlight w:val="none"/>
                <w:lang w:val="en-US" w:eastAsia="zh-CN" w:bidi="ar-SA"/>
              </w:rPr>
              <w:t>基本</w:t>
            </w:r>
            <w:bookmarkStart w:id="5" w:name="_GoBack"/>
            <w:bookmarkEnd w:id="5"/>
            <w:r>
              <w:rPr>
                <w:rFonts w:hint="eastAsia" w:ascii="宋体" w:hAnsi="宋体" w:eastAsia="宋体" w:cs="宋体"/>
                <w:color w:val="000000"/>
                <w:kern w:val="28"/>
                <w:sz w:val="24"/>
                <w:szCs w:val="24"/>
                <w:highlight w:val="none"/>
                <w:lang w:val="en-US" w:eastAsia="zh-CN" w:bidi="ar-SA"/>
              </w:rPr>
              <w:t>满足采购需求，得</w:t>
            </w:r>
            <w:r>
              <w:rPr>
                <w:rFonts w:hint="eastAsia" w:ascii="宋体" w:hAnsi="宋体" w:cs="宋体"/>
                <w:color w:val="000000"/>
                <w:kern w:val="28"/>
                <w:sz w:val="24"/>
                <w:szCs w:val="24"/>
                <w:highlight w:val="none"/>
                <w:lang w:val="en-US" w:eastAsia="zh-CN" w:bidi="ar-SA"/>
              </w:rPr>
              <w:t>13</w:t>
            </w:r>
            <w:r>
              <w:rPr>
                <w:rFonts w:hint="eastAsia" w:ascii="宋体" w:hAnsi="宋体" w:eastAsia="宋体" w:cs="宋体"/>
                <w:color w:val="000000"/>
                <w:kern w:val="28"/>
                <w:sz w:val="24"/>
                <w:szCs w:val="24"/>
                <w:highlight w:val="none"/>
                <w:lang w:val="en-US" w:eastAsia="zh-CN" w:bidi="ar-SA"/>
              </w:rPr>
              <w:t xml:space="preserve">分。 </w:t>
            </w:r>
          </w:p>
          <w:p w14:paraId="41FAD92F">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（3）响应方案不够合理可行，不能完全满足采购需求，得</w:t>
            </w:r>
            <w:r>
              <w:rPr>
                <w:rFonts w:hint="eastAsia" w:ascii="宋体" w:hAnsi="宋体" w:cs="宋体"/>
                <w:color w:val="000000"/>
                <w:kern w:val="28"/>
                <w:sz w:val="24"/>
                <w:szCs w:val="24"/>
                <w:highlight w:val="none"/>
                <w:lang w:val="en-US" w:eastAsia="zh-CN" w:bidi="ar-SA"/>
              </w:rPr>
              <w:t>6</w:t>
            </w:r>
            <w:r>
              <w:rPr>
                <w:rFonts w:hint="eastAsia" w:ascii="宋体" w:hAnsi="宋体" w:eastAsia="宋体" w:cs="宋体"/>
                <w:color w:val="000000"/>
                <w:kern w:val="28"/>
                <w:sz w:val="24"/>
                <w:szCs w:val="24"/>
                <w:highlight w:val="none"/>
                <w:lang w:val="en-US" w:eastAsia="zh-CN" w:bidi="ar-SA"/>
              </w:rPr>
              <w:t xml:space="preserve">分。 </w:t>
            </w:r>
          </w:p>
          <w:p w14:paraId="2A7C84CC">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w:t>
            </w:r>
            <w:r>
              <w:rPr>
                <w:rFonts w:hint="eastAsia" w:ascii="宋体" w:hAnsi="宋体" w:cs="宋体"/>
                <w:color w:val="000000"/>
                <w:kern w:val="28"/>
                <w:sz w:val="24"/>
                <w:szCs w:val="24"/>
                <w:highlight w:val="none"/>
                <w:lang w:val="en-US" w:eastAsia="zh-CN" w:bidi="ar-SA"/>
              </w:rPr>
              <w:t>不</w:t>
            </w:r>
            <w:r>
              <w:rPr>
                <w:rFonts w:hint="eastAsia" w:ascii="宋体" w:hAnsi="宋体" w:eastAsia="宋体" w:cs="宋体"/>
                <w:color w:val="000000"/>
                <w:kern w:val="28"/>
                <w:sz w:val="24"/>
                <w:szCs w:val="24"/>
                <w:highlight w:val="none"/>
                <w:lang w:val="en-US" w:eastAsia="zh-CN" w:bidi="ar-SA"/>
              </w:rPr>
              <w:t>提供</w:t>
            </w:r>
            <w:r>
              <w:rPr>
                <w:rFonts w:hint="eastAsia" w:ascii="宋体" w:hAnsi="宋体" w:cs="宋体"/>
                <w:color w:val="000000"/>
                <w:kern w:val="28"/>
                <w:sz w:val="24"/>
                <w:szCs w:val="24"/>
                <w:highlight w:val="none"/>
                <w:lang w:val="en-US" w:eastAsia="zh-CN" w:bidi="ar-SA"/>
              </w:rPr>
              <w:t>方案</w:t>
            </w:r>
            <w:r>
              <w:rPr>
                <w:rFonts w:hint="eastAsia" w:ascii="宋体" w:hAnsi="宋体" w:eastAsia="宋体" w:cs="宋体"/>
                <w:color w:val="000000"/>
                <w:kern w:val="28"/>
                <w:sz w:val="24"/>
                <w:szCs w:val="24"/>
                <w:highlight w:val="none"/>
                <w:lang w:val="en-US" w:eastAsia="zh-CN" w:bidi="ar-SA"/>
              </w:rPr>
              <w:t>，得0分。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p>
        </w:tc>
        <w:tc>
          <w:tcPr>
            <w:tcW w:w="1410" w:type="dxa"/>
            <w:shd w:val="clear" w:color="000000" w:fill="FFFFFF"/>
            <w:noWrap w:val="0"/>
            <w:vAlign w:val="center"/>
          </w:tcPr>
          <w:p w14:paraId="1A351B2A">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管理体系认证</w:t>
            </w:r>
          </w:p>
        </w:tc>
        <w:tc>
          <w:tcPr>
            <w:tcW w:w="930" w:type="dxa"/>
            <w:shd w:val="clear" w:color="000000" w:fill="FFFFFF"/>
            <w:noWrap w:val="0"/>
            <w:vAlign w:val="center"/>
          </w:tcPr>
          <w:p w14:paraId="1C5C06D7">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9</w:t>
            </w:r>
          </w:p>
        </w:tc>
        <w:tc>
          <w:tcPr>
            <w:tcW w:w="8552" w:type="dxa"/>
            <w:noWrap w:val="0"/>
            <w:vAlign w:val="center"/>
          </w:tcPr>
          <w:p w14:paraId="345AE8B3">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（1）具有信息技术服务管理体系认证证书，且认证覆盖范围包含信息系统测评或同类描述，得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 xml:space="preserve">分。 </w:t>
            </w:r>
          </w:p>
          <w:p w14:paraId="42ED99C7">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（2）具有信息安全管理体系认证证书，且认证覆盖范围包含信息系统测评或同类描述，得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分。</w:t>
            </w:r>
          </w:p>
          <w:p w14:paraId="51BE1138">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（3）具有质量管理体系认证证书，且认证覆盖范围包含信息系统测评或同类描述，得</w:t>
            </w:r>
            <w:r>
              <w:rPr>
                <w:rFonts w:hint="eastAsia" w:ascii="宋体" w:hAnsi="宋体" w:cs="宋体"/>
                <w:color w:val="000000"/>
                <w:kern w:val="28"/>
                <w:sz w:val="24"/>
                <w:szCs w:val="24"/>
                <w:highlight w:val="none"/>
                <w:lang w:val="en-US" w:eastAsia="zh-CN" w:bidi="ar-SA"/>
              </w:rPr>
              <w:t>3</w:t>
            </w:r>
            <w:r>
              <w:rPr>
                <w:rFonts w:hint="eastAsia" w:ascii="宋体" w:hAnsi="宋体" w:eastAsia="宋体" w:cs="宋体"/>
                <w:color w:val="000000"/>
                <w:kern w:val="28"/>
                <w:sz w:val="24"/>
                <w:szCs w:val="24"/>
                <w:highlight w:val="none"/>
                <w:lang w:val="en-US" w:eastAsia="zh-CN" w:bidi="ar-SA"/>
              </w:rPr>
              <w:t xml:space="preserve">分。 </w:t>
            </w:r>
          </w:p>
          <w:p w14:paraId="1113EE55">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注：提供有效期内的证书复印件并加盖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公章，并同时提供在全国认证认可信息公共服务平台对体系证书的信息查询截图作为评审依据，已失效或撤销的不得分。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p>
        </w:tc>
        <w:tc>
          <w:tcPr>
            <w:tcW w:w="1410" w:type="dxa"/>
            <w:shd w:val="clear" w:color="auto" w:fill="auto"/>
            <w:noWrap w:val="0"/>
            <w:vAlign w:val="center"/>
          </w:tcPr>
          <w:p w14:paraId="0CB25C1C">
            <w:pPr>
              <w:tabs>
                <w:tab w:val="decimal" w:pos="315"/>
                <w:tab w:val="left" w:pos="630"/>
              </w:tabs>
              <w:spacing w:line="36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拟投入本项目的项目经理资质 </w:t>
            </w:r>
          </w:p>
        </w:tc>
        <w:tc>
          <w:tcPr>
            <w:tcW w:w="930" w:type="dxa"/>
            <w:shd w:val="clear" w:color="000000" w:fill="FFFFFF"/>
            <w:noWrap w:val="0"/>
            <w:vAlign w:val="center"/>
          </w:tcPr>
          <w:p w14:paraId="36ED92E4">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8</w:t>
            </w:r>
          </w:p>
        </w:tc>
        <w:tc>
          <w:tcPr>
            <w:tcW w:w="8552" w:type="dxa"/>
            <w:shd w:val="clear" w:color="000000" w:fill="FFFFFF"/>
            <w:noWrap w:val="0"/>
            <w:vAlign w:val="center"/>
          </w:tcPr>
          <w:p w14:paraId="166F17CE">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拟投入一名负责本项目的项目经理满足以下要求：</w:t>
            </w:r>
          </w:p>
          <w:p w14:paraId="160C0764">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（1）具有计算机技术与软件专业技术资格信息系统项目管理师（高级）证书；</w:t>
            </w:r>
          </w:p>
          <w:p w14:paraId="1CBC0F3F">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（2）具有计算机技术与软件专业技术资格软件评测师（中级）</w:t>
            </w:r>
            <w:r>
              <w:rPr>
                <w:rFonts w:hint="eastAsia" w:ascii="宋体" w:hAnsi="宋体" w:cs="宋体"/>
                <w:color w:val="000000"/>
                <w:kern w:val="28"/>
                <w:sz w:val="24"/>
                <w:szCs w:val="24"/>
                <w:highlight w:val="none"/>
                <w:lang w:val="en-US" w:eastAsia="zh-CN" w:bidi="ar-SA"/>
              </w:rPr>
              <w:t>或以上</w:t>
            </w:r>
            <w:r>
              <w:rPr>
                <w:rFonts w:hint="eastAsia" w:ascii="宋体" w:hAnsi="宋体" w:eastAsia="宋体" w:cs="宋体"/>
                <w:color w:val="000000"/>
                <w:kern w:val="28"/>
                <w:sz w:val="24"/>
                <w:szCs w:val="24"/>
                <w:highlight w:val="none"/>
                <w:lang w:val="en-US" w:eastAsia="zh-CN" w:bidi="ar-SA"/>
              </w:rPr>
              <w:t>证书；</w:t>
            </w:r>
          </w:p>
          <w:p w14:paraId="6A6107B2">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（3）具有公安部信息安全等级保护评估中心颁发的国家重要信息系统保护人员证书（CIIP-A）；</w:t>
            </w:r>
          </w:p>
          <w:p w14:paraId="78D1C04D">
            <w:pPr>
              <w:pStyle w:val="34"/>
              <w:spacing w:line="360" w:lineRule="auto"/>
              <w:jc w:val="left"/>
              <w:rPr>
                <w:rFonts w:hint="eastAsia" w:ascii="宋体" w:hAnsi="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（4）具有CNAS实验室和CMA检验检测机构授权签字人资格</w:t>
            </w:r>
            <w:r>
              <w:rPr>
                <w:rFonts w:hint="eastAsia" w:ascii="宋体" w:hAnsi="宋体" w:cs="宋体"/>
                <w:color w:val="000000"/>
                <w:kern w:val="28"/>
                <w:sz w:val="24"/>
                <w:szCs w:val="24"/>
                <w:highlight w:val="none"/>
                <w:lang w:val="en-US" w:eastAsia="zh-CN" w:bidi="ar-SA"/>
              </w:rPr>
              <w:t>。</w:t>
            </w:r>
          </w:p>
          <w:p w14:paraId="7FF1A2C1">
            <w:pPr>
              <w:pStyle w:val="34"/>
              <w:spacing w:line="360" w:lineRule="auto"/>
              <w:jc w:val="left"/>
              <w:rPr>
                <w:rFonts w:hint="default" w:ascii="宋体" w:hAnsi="宋体" w:cs="宋体"/>
                <w:color w:val="000000"/>
                <w:kern w:val="28"/>
                <w:sz w:val="24"/>
                <w:szCs w:val="24"/>
                <w:highlight w:val="none"/>
                <w:lang w:val="en-US" w:eastAsia="zh-CN" w:bidi="ar-SA"/>
              </w:rPr>
            </w:pPr>
            <w:r>
              <w:rPr>
                <w:rFonts w:hint="default" w:ascii="宋体" w:hAnsi="宋体" w:cs="宋体"/>
                <w:color w:val="000000"/>
                <w:kern w:val="28"/>
                <w:sz w:val="24"/>
                <w:szCs w:val="24"/>
                <w:highlight w:val="none"/>
                <w:lang w:val="en-US" w:eastAsia="zh-CN" w:bidi="ar-SA"/>
              </w:rPr>
              <w:t>满足一项得 2 分，最高的 8分。</w:t>
            </w:r>
          </w:p>
          <w:p w14:paraId="6BBAE8E0">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1.提供证书</w:t>
            </w:r>
            <w:r>
              <w:rPr>
                <w:rFonts w:hint="eastAsia" w:ascii="宋体" w:hAnsi="宋体" w:cs="宋体"/>
                <w:b/>
                <w:bCs/>
                <w:color w:val="000000"/>
                <w:kern w:val="28"/>
                <w:sz w:val="24"/>
                <w:szCs w:val="24"/>
                <w:highlight w:val="none"/>
                <w:lang w:val="en-US" w:eastAsia="zh-CN" w:bidi="ar-SA"/>
              </w:rPr>
              <w:t>复印件；</w:t>
            </w:r>
          </w:p>
          <w:p w14:paraId="2C5FE283">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2.须提供有效证书复印件及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5</w:t>
            </w:r>
          </w:p>
        </w:tc>
        <w:tc>
          <w:tcPr>
            <w:tcW w:w="1410" w:type="dxa"/>
            <w:shd w:val="clear" w:color="000000" w:fill="FFFFFF"/>
            <w:noWrap w:val="0"/>
            <w:vAlign w:val="center"/>
          </w:tcPr>
          <w:p w14:paraId="6DD62D26">
            <w:pPr>
              <w:tabs>
                <w:tab w:val="decimal" w:pos="315"/>
                <w:tab w:val="left" w:pos="630"/>
              </w:tabs>
              <w:autoSpaceDE w:val="0"/>
              <w:autoSpaceDN w:val="0"/>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拟投入本项目的技术负责人资质</w:t>
            </w:r>
          </w:p>
        </w:tc>
        <w:tc>
          <w:tcPr>
            <w:tcW w:w="930" w:type="dxa"/>
            <w:shd w:val="clear" w:color="000000" w:fill="FFFFFF"/>
            <w:noWrap w:val="0"/>
            <w:vAlign w:val="center"/>
          </w:tcPr>
          <w:p w14:paraId="1A051202">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p>
        </w:tc>
        <w:tc>
          <w:tcPr>
            <w:tcW w:w="8552" w:type="dxa"/>
            <w:noWrap w:val="0"/>
            <w:vAlign w:val="center"/>
          </w:tcPr>
          <w:p w14:paraId="1ECBDF44">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技术负责人1名（与项目经理不得为同一人）： </w:t>
            </w:r>
          </w:p>
          <w:p w14:paraId="7341BD38">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投入一名技术负责人（不含项目经理）满足以下要求：</w:t>
            </w:r>
          </w:p>
          <w:p w14:paraId="3D9D64CD">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（1）具有计算机技术与软件专业技术资格软件评测师（中级）</w:t>
            </w:r>
            <w:r>
              <w:rPr>
                <w:rFonts w:hint="eastAsia" w:ascii="宋体" w:hAnsi="宋体" w:cs="宋体"/>
                <w:color w:val="000000"/>
                <w:kern w:val="28"/>
                <w:sz w:val="24"/>
                <w:szCs w:val="24"/>
                <w:highlight w:val="none"/>
                <w:lang w:val="en-US" w:eastAsia="zh-CN" w:bidi="ar-SA"/>
              </w:rPr>
              <w:t>或以上</w:t>
            </w:r>
            <w:r>
              <w:rPr>
                <w:rFonts w:hint="eastAsia" w:ascii="宋体" w:hAnsi="宋体" w:eastAsia="宋体" w:cs="宋体"/>
                <w:bCs/>
                <w:kern w:val="2"/>
                <w:sz w:val="24"/>
                <w:szCs w:val="24"/>
                <w:highlight w:val="none"/>
                <w:lang w:val="en-US" w:eastAsia="zh-CN" w:bidi="ar-SA"/>
              </w:rPr>
              <w:t>证书；</w:t>
            </w:r>
          </w:p>
          <w:p w14:paraId="2A26C17A">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（2）具有计算机技术与软件专业技术资格信息系统管理工程师（中级）</w:t>
            </w:r>
            <w:r>
              <w:rPr>
                <w:rFonts w:hint="eastAsia" w:ascii="宋体" w:hAnsi="宋体" w:cs="宋体"/>
                <w:color w:val="000000"/>
                <w:kern w:val="28"/>
                <w:sz w:val="24"/>
                <w:szCs w:val="24"/>
                <w:highlight w:val="none"/>
                <w:lang w:val="en-US" w:eastAsia="zh-CN" w:bidi="ar-SA"/>
              </w:rPr>
              <w:t>或以上</w:t>
            </w:r>
            <w:r>
              <w:rPr>
                <w:rFonts w:hint="eastAsia" w:ascii="宋体" w:hAnsi="宋体" w:eastAsia="宋体" w:cs="宋体"/>
                <w:bCs/>
                <w:kern w:val="2"/>
                <w:sz w:val="24"/>
                <w:szCs w:val="24"/>
                <w:highlight w:val="none"/>
                <w:lang w:val="en-US" w:eastAsia="zh-CN" w:bidi="ar-SA"/>
              </w:rPr>
              <w:t>证书；</w:t>
            </w:r>
          </w:p>
          <w:p w14:paraId="0ED8E9EC">
            <w:pPr>
              <w:spacing w:line="360" w:lineRule="auto"/>
              <w:rPr>
                <w:rFonts w:hint="eastAsia" w:ascii="宋体" w:hAnsi="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（3）具有人力资源部相关单位颁发的网络与信息安全管理员证书</w:t>
            </w:r>
            <w:r>
              <w:rPr>
                <w:rFonts w:hint="eastAsia" w:ascii="宋体" w:hAnsi="宋体" w:cs="宋体"/>
                <w:bCs/>
                <w:kern w:val="2"/>
                <w:sz w:val="24"/>
                <w:szCs w:val="24"/>
                <w:highlight w:val="none"/>
                <w:lang w:val="en-US" w:eastAsia="zh-CN" w:bidi="ar-SA"/>
              </w:rPr>
              <w:t>。</w:t>
            </w:r>
          </w:p>
          <w:p w14:paraId="71FBACD0">
            <w:pPr>
              <w:spacing w:line="360" w:lineRule="auto"/>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满足一项得 2 分，最高的 6分。</w:t>
            </w:r>
          </w:p>
          <w:p w14:paraId="43B691EC">
            <w:pPr>
              <w:spacing w:line="360" w:lineRule="auto"/>
              <w:rPr>
                <w:rFonts w:hint="eastAsia" w:ascii="宋体" w:hAnsi="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w:t>
            </w:r>
            <w:r>
              <w:rPr>
                <w:rFonts w:hint="eastAsia" w:ascii="宋体" w:hAnsi="宋体" w:cs="宋体"/>
                <w:b/>
                <w:bCs/>
                <w:color w:val="000000"/>
                <w:kern w:val="28"/>
                <w:sz w:val="24"/>
                <w:szCs w:val="24"/>
                <w:highlight w:val="none"/>
                <w:lang w:val="en-US" w:eastAsia="zh-CN" w:bidi="ar-SA"/>
              </w:rPr>
              <w:t>相关</w:t>
            </w:r>
            <w:r>
              <w:rPr>
                <w:rFonts w:hint="eastAsia" w:ascii="宋体" w:hAnsi="宋体" w:eastAsia="宋体" w:cs="宋体"/>
                <w:b/>
                <w:bCs/>
                <w:color w:val="000000"/>
                <w:kern w:val="28"/>
                <w:sz w:val="24"/>
                <w:szCs w:val="24"/>
                <w:highlight w:val="none"/>
                <w:lang w:val="en-US" w:eastAsia="zh-CN" w:bidi="ar-SA"/>
              </w:rPr>
              <w:t>证书</w:t>
            </w:r>
            <w:r>
              <w:rPr>
                <w:rFonts w:hint="eastAsia" w:ascii="宋体" w:hAnsi="宋体" w:cs="宋体"/>
                <w:b/>
                <w:bCs/>
                <w:color w:val="000000"/>
                <w:kern w:val="28"/>
                <w:sz w:val="24"/>
                <w:szCs w:val="24"/>
                <w:highlight w:val="none"/>
                <w:lang w:val="en-US" w:eastAsia="zh-CN" w:bidi="ar-SA"/>
              </w:rPr>
              <w:t>复印件；</w:t>
            </w:r>
          </w:p>
          <w:p w14:paraId="5BD677B1">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b/>
                <w:bCs/>
                <w:color w:val="000000"/>
                <w:kern w:val="28"/>
                <w:sz w:val="24"/>
                <w:szCs w:val="24"/>
                <w:highlight w:val="none"/>
                <w:lang w:val="en-US" w:eastAsia="zh-CN" w:bidi="ar-SA"/>
              </w:rPr>
              <w:t>2.</w:t>
            </w:r>
            <w:r>
              <w:rPr>
                <w:rFonts w:hint="eastAsia" w:ascii="宋体" w:hAnsi="宋体" w:eastAsia="宋体" w:cs="宋体"/>
                <w:b/>
                <w:bCs/>
                <w:color w:val="000000"/>
                <w:kern w:val="28"/>
                <w:sz w:val="24"/>
                <w:szCs w:val="24"/>
                <w:highlight w:val="none"/>
                <w:lang w:val="en-US" w:eastAsia="zh-CN" w:bidi="ar-SA"/>
              </w:rPr>
              <w:t>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widowControl/>
              <w:spacing w:line="360" w:lineRule="auto"/>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6</w:t>
            </w:r>
          </w:p>
        </w:tc>
        <w:tc>
          <w:tcPr>
            <w:tcW w:w="1410" w:type="dxa"/>
            <w:shd w:val="clear" w:color="000000" w:fill="FFFFFF"/>
            <w:noWrap w:val="0"/>
            <w:vAlign w:val="center"/>
          </w:tcPr>
          <w:p w14:paraId="151E6AA3">
            <w:pPr>
              <w:tabs>
                <w:tab w:val="decimal" w:pos="315"/>
                <w:tab w:val="left" w:pos="630"/>
              </w:tabs>
              <w:autoSpaceDE w:val="0"/>
              <w:autoSpaceDN w:val="0"/>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其他团队成员</w:t>
            </w:r>
          </w:p>
        </w:tc>
        <w:tc>
          <w:tcPr>
            <w:tcW w:w="930" w:type="dxa"/>
            <w:shd w:val="clear" w:color="000000" w:fill="FFFFFF"/>
            <w:noWrap w:val="0"/>
            <w:vAlign w:val="center"/>
          </w:tcPr>
          <w:p w14:paraId="1E790F37">
            <w:pPr>
              <w:pStyle w:val="34"/>
              <w:spacing w:line="360" w:lineRule="auto"/>
              <w:jc w:val="center"/>
              <w:rPr>
                <w:rFonts w:hint="default" w:ascii="宋体" w:hAnsi="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p>
        </w:tc>
        <w:tc>
          <w:tcPr>
            <w:tcW w:w="8552" w:type="dxa"/>
            <w:noWrap w:val="0"/>
            <w:vAlign w:val="center"/>
          </w:tcPr>
          <w:p w14:paraId="26D96E5C">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投入其他团队成员（不含项目经理和技术负责人）满足以下要求：</w:t>
            </w:r>
          </w:p>
          <w:p w14:paraId="30C40204">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具有计算机技术与软件专业技术资格软件评测师（中级）</w:t>
            </w:r>
            <w:r>
              <w:rPr>
                <w:rFonts w:hint="eastAsia" w:ascii="宋体" w:hAnsi="宋体" w:cs="宋体"/>
                <w:color w:val="000000"/>
                <w:kern w:val="28"/>
                <w:sz w:val="24"/>
                <w:szCs w:val="24"/>
                <w:highlight w:val="none"/>
                <w:lang w:val="en-US" w:eastAsia="zh-CN" w:bidi="ar-SA"/>
              </w:rPr>
              <w:t>或以上</w:t>
            </w:r>
            <w:r>
              <w:rPr>
                <w:rFonts w:hint="eastAsia" w:ascii="宋体" w:hAnsi="宋体" w:eastAsia="宋体" w:cs="宋体"/>
                <w:bCs/>
                <w:kern w:val="2"/>
                <w:sz w:val="24"/>
                <w:szCs w:val="24"/>
                <w:highlight w:val="none"/>
                <w:lang w:val="en-US" w:eastAsia="zh-CN" w:bidi="ar-SA"/>
              </w:rPr>
              <w:t>证书，</w:t>
            </w:r>
            <w:r>
              <w:rPr>
                <w:rFonts w:hint="eastAsia" w:ascii="宋体" w:hAnsi="宋体" w:cs="宋体"/>
                <w:bCs/>
                <w:kern w:val="2"/>
                <w:sz w:val="24"/>
                <w:szCs w:val="24"/>
                <w:highlight w:val="none"/>
                <w:lang w:val="en-US" w:eastAsia="zh-CN" w:bidi="ar-SA"/>
              </w:rPr>
              <w:t>提供一个</w:t>
            </w:r>
            <w:r>
              <w:rPr>
                <w:rFonts w:hint="eastAsia" w:ascii="宋体" w:hAnsi="宋体" w:eastAsia="宋体" w:cs="宋体"/>
                <w:bCs/>
                <w:kern w:val="2"/>
                <w:sz w:val="24"/>
                <w:szCs w:val="24"/>
                <w:highlight w:val="none"/>
                <w:lang w:val="en-US" w:eastAsia="zh-CN" w:bidi="ar-SA"/>
              </w:rPr>
              <w:t>得1分，最高得6分</w:t>
            </w:r>
            <w:r>
              <w:rPr>
                <w:rFonts w:hint="eastAsia" w:ascii="宋体" w:hAnsi="宋体" w:cs="宋体"/>
                <w:bCs/>
                <w:kern w:val="2"/>
                <w:sz w:val="24"/>
                <w:szCs w:val="24"/>
                <w:highlight w:val="none"/>
                <w:lang w:val="en-US" w:eastAsia="zh-CN" w:bidi="ar-SA"/>
              </w:rPr>
              <w:t>。</w:t>
            </w:r>
          </w:p>
          <w:p w14:paraId="696AC543">
            <w:pPr>
              <w:spacing w:line="360" w:lineRule="auto"/>
              <w:rPr>
                <w:rFonts w:hint="eastAsia" w:ascii="宋体" w:hAnsi="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w:t>
            </w:r>
            <w:r>
              <w:rPr>
                <w:rFonts w:hint="eastAsia" w:ascii="宋体" w:hAnsi="宋体" w:cs="宋体"/>
                <w:b/>
                <w:bCs/>
                <w:color w:val="000000"/>
                <w:kern w:val="28"/>
                <w:sz w:val="24"/>
                <w:szCs w:val="24"/>
                <w:highlight w:val="none"/>
                <w:lang w:val="en-US" w:eastAsia="zh-CN" w:bidi="ar-SA"/>
              </w:rPr>
              <w:t>：</w:t>
            </w:r>
            <w:r>
              <w:rPr>
                <w:rFonts w:hint="eastAsia" w:ascii="宋体" w:hAnsi="宋体" w:eastAsia="宋体" w:cs="宋体"/>
                <w:b/>
                <w:bCs/>
                <w:color w:val="000000"/>
                <w:kern w:val="28"/>
                <w:sz w:val="24"/>
                <w:szCs w:val="24"/>
                <w:highlight w:val="none"/>
                <w:lang w:val="en-US" w:eastAsia="zh-CN" w:bidi="ar-SA"/>
              </w:rPr>
              <w:t>1.提供</w:t>
            </w:r>
            <w:r>
              <w:rPr>
                <w:rFonts w:hint="eastAsia" w:ascii="宋体" w:hAnsi="宋体" w:cs="宋体"/>
                <w:b/>
                <w:bCs/>
                <w:color w:val="000000"/>
                <w:kern w:val="28"/>
                <w:sz w:val="24"/>
                <w:szCs w:val="24"/>
                <w:highlight w:val="none"/>
                <w:lang w:val="en-US" w:eastAsia="zh-CN" w:bidi="ar-SA"/>
              </w:rPr>
              <w:t>相关</w:t>
            </w:r>
            <w:r>
              <w:rPr>
                <w:rFonts w:hint="eastAsia" w:ascii="宋体" w:hAnsi="宋体" w:eastAsia="宋体" w:cs="宋体"/>
                <w:b/>
                <w:bCs/>
                <w:color w:val="000000"/>
                <w:kern w:val="28"/>
                <w:sz w:val="24"/>
                <w:szCs w:val="24"/>
                <w:highlight w:val="none"/>
                <w:lang w:val="en-US" w:eastAsia="zh-CN" w:bidi="ar-SA"/>
              </w:rPr>
              <w:t>证书</w:t>
            </w:r>
            <w:r>
              <w:rPr>
                <w:rFonts w:hint="eastAsia" w:ascii="宋体" w:hAnsi="宋体" w:cs="宋体"/>
                <w:b/>
                <w:bCs/>
                <w:color w:val="000000"/>
                <w:kern w:val="28"/>
                <w:sz w:val="24"/>
                <w:szCs w:val="24"/>
                <w:highlight w:val="none"/>
                <w:lang w:val="en-US" w:eastAsia="zh-CN" w:bidi="ar-SA"/>
              </w:rPr>
              <w:t>复印件；</w:t>
            </w:r>
          </w:p>
          <w:p w14:paraId="224CDFAA">
            <w:pPr>
              <w:spacing w:line="360" w:lineRule="auto"/>
              <w:rPr>
                <w:rFonts w:hint="eastAsia" w:ascii="宋体" w:hAnsi="宋体" w:eastAsia="宋体" w:cs="宋体"/>
                <w:bCs/>
                <w:kern w:val="2"/>
                <w:sz w:val="24"/>
                <w:szCs w:val="24"/>
                <w:highlight w:val="none"/>
                <w:lang w:val="en-US" w:eastAsia="zh-CN" w:bidi="ar-SA"/>
              </w:rPr>
            </w:pPr>
            <w:r>
              <w:rPr>
                <w:rFonts w:hint="eastAsia" w:ascii="宋体" w:hAnsi="宋体" w:cs="宋体"/>
                <w:b/>
                <w:bCs/>
                <w:color w:val="000000"/>
                <w:kern w:val="28"/>
                <w:sz w:val="24"/>
                <w:szCs w:val="24"/>
                <w:highlight w:val="none"/>
                <w:lang w:val="en-US" w:eastAsia="zh-CN" w:bidi="ar-SA"/>
              </w:rPr>
              <w:t>2.</w:t>
            </w:r>
            <w:r>
              <w:rPr>
                <w:rFonts w:hint="eastAsia" w:ascii="宋体" w:hAnsi="宋体" w:eastAsia="宋体" w:cs="宋体"/>
                <w:b/>
                <w:bCs/>
                <w:color w:val="000000"/>
                <w:kern w:val="28"/>
                <w:sz w:val="24"/>
                <w:szCs w:val="24"/>
                <w:highlight w:val="none"/>
                <w:lang w:val="en-US" w:eastAsia="zh-CN" w:bidi="ar-SA"/>
              </w:rPr>
              <w:t>须提供有效证书复印件及</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为其购买的</w:t>
            </w:r>
            <w:r>
              <w:rPr>
                <w:rFonts w:hint="eastAsia" w:ascii="宋体" w:hAnsi="宋体" w:cs="宋体"/>
                <w:b/>
                <w:bCs/>
                <w:color w:val="000000"/>
                <w:kern w:val="28"/>
                <w:sz w:val="24"/>
                <w:szCs w:val="24"/>
                <w:highlight w:val="none"/>
                <w:lang w:val="en-US" w:eastAsia="zh-CN" w:bidi="ar-SA"/>
              </w:rPr>
              <w:t>响应</w:t>
            </w:r>
            <w:r>
              <w:rPr>
                <w:rFonts w:hint="eastAsia" w:ascii="宋体" w:hAnsi="宋体" w:eastAsia="宋体" w:cs="宋体"/>
                <w:b/>
                <w:bCs/>
                <w:color w:val="000000"/>
                <w:kern w:val="28"/>
                <w:sz w:val="24"/>
                <w:szCs w:val="24"/>
                <w:highlight w:val="none"/>
                <w:lang w:val="en-US" w:eastAsia="zh-CN" w:bidi="ar-SA"/>
              </w:rPr>
              <w:t>截止日前6个月内任意1个月的社保证明材料复印件或单位代扣个人所得税记录（建议在对应人名处圈记），加盖</w:t>
            </w:r>
            <w:r>
              <w:rPr>
                <w:rFonts w:hint="eastAsia" w:ascii="宋体" w:hAnsi="宋体" w:cs="宋体"/>
                <w:b/>
                <w:bCs/>
                <w:color w:val="000000"/>
                <w:kern w:val="28"/>
                <w:sz w:val="24"/>
                <w:szCs w:val="24"/>
                <w:highlight w:val="none"/>
                <w:lang w:val="en-US" w:eastAsia="zh-CN" w:bidi="ar-SA"/>
              </w:rPr>
              <w:t>响应供应商</w:t>
            </w:r>
            <w:r>
              <w:rPr>
                <w:rFonts w:hint="eastAsia" w:ascii="宋体" w:hAnsi="宋体" w:eastAsia="宋体" w:cs="宋体"/>
                <w:b/>
                <w:bCs/>
                <w:color w:val="000000"/>
                <w:kern w:val="28"/>
                <w:sz w:val="24"/>
                <w:szCs w:val="24"/>
                <w:highlight w:val="none"/>
                <w:lang w:val="en-US" w:eastAsia="zh-CN" w:bidi="ar-SA"/>
              </w:rPr>
              <w:t>公章，无提供不得分。</w:t>
            </w:r>
          </w:p>
          <w:p w14:paraId="72AA0725">
            <w:pPr>
              <w:spacing w:line="360" w:lineRule="auto"/>
              <w:rPr>
                <w:rFonts w:hint="eastAsia" w:ascii="宋体" w:hAnsi="宋体" w:eastAsia="宋体" w:cs="宋体"/>
                <w:bCs/>
                <w:kern w:val="2"/>
                <w:sz w:val="24"/>
                <w:szCs w:val="24"/>
                <w:highlight w:val="none"/>
                <w:lang w:val="en-US" w:eastAsia="zh-CN" w:bidi="ar-SA"/>
              </w:rPr>
            </w:pPr>
          </w:p>
        </w:tc>
      </w:tr>
      <w:tr w14:paraId="09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1966C2F9">
            <w:pPr>
              <w:widowControl/>
              <w:spacing w:line="360" w:lineRule="auto"/>
              <w:jc w:val="center"/>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val="en-US" w:eastAsia="zh-CN"/>
              </w:rPr>
              <w:t>7</w:t>
            </w:r>
          </w:p>
        </w:tc>
        <w:tc>
          <w:tcPr>
            <w:tcW w:w="1410" w:type="dxa"/>
            <w:shd w:val="clear" w:color="000000" w:fill="FFFFFF"/>
            <w:noWrap w:val="0"/>
            <w:vAlign w:val="center"/>
          </w:tcPr>
          <w:p w14:paraId="5AF22704">
            <w:pPr>
              <w:tabs>
                <w:tab w:val="decimal" w:pos="315"/>
                <w:tab w:val="left" w:pos="630"/>
              </w:tabs>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同类业绩 </w:t>
            </w:r>
          </w:p>
        </w:tc>
        <w:tc>
          <w:tcPr>
            <w:tcW w:w="930" w:type="dxa"/>
            <w:shd w:val="clear" w:color="000000" w:fill="FFFFFF"/>
            <w:noWrap w:val="0"/>
            <w:vAlign w:val="center"/>
          </w:tcPr>
          <w:p w14:paraId="7FFDDFB6">
            <w:pPr>
              <w:pStyle w:val="34"/>
              <w:spacing w:line="360" w:lineRule="auto"/>
              <w:jc w:val="center"/>
              <w:rPr>
                <w:rFonts w:hint="eastAsia" w:ascii="宋体" w:hAnsi="宋体" w:eastAsia="宋体" w:cs="宋体"/>
                <w:color w:val="000000"/>
                <w:kern w:val="28"/>
                <w:sz w:val="24"/>
                <w:szCs w:val="24"/>
                <w:highlight w:val="none"/>
                <w:lang w:val="en-US" w:eastAsia="zh-CN" w:bidi="ar-SA"/>
              </w:rPr>
            </w:pPr>
            <w:r>
              <w:rPr>
                <w:rFonts w:hint="eastAsia" w:ascii="宋体" w:hAnsi="宋体" w:cs="宋体"/>
                <w:color w:val="000000"/>
                <w:kern w:val="28"/>
                <w:sz w:val="24"/>
                <w:szCs w:val="24"/>
                <w:highlight w:val="none"/>
                <w:lang w:val="en-US" w:eastAsia="zh-CN" w:bidi="ar-SA"/>
              </w:rPr>
              <w:t>6</w:t>
            </w:r>
          </w:p>
        </w:tc>
        <w:tc>
          <w:tcPr>
            <w:tcW w:w="8552" w:type="dxa"/>
            <w:shd w:val="clear" w:color="000000" w:fill="FFFFFF"/>
            <w:noWrap w:val="0"/>
            <w:vAlign w:val="center"/>
          </w:tcPr>
          <w:p w14:paraId="03186A55">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响应人2023年1月1日以来（以签订合同时间为准）签订的同类项目业绩：每1份有效业绩得2分，最高得</w:t>
            </w:r>
            <w:r>
              <w:rPr>
                <w:rFonts w:hint="eastAsia" w:ascii="宋体" w:hAnsi="宋体" w:cs="宋体"/>
                <w:color w:val="000000"/>
                <w:kern w:val="28"/>
                <w:sz w:val="24"/>
                <w:szCs w:val="24"/>
                <w:highlight w:val="none"/>
                <w:lang w:val="en-US" w:eastAsia="zh-CN" w:bidi="ar-SA"/>
              </w:rPr>
              <w:t>6</w:t>
            </w:r>
            <w:r>
              <w:rPr>
                <w:rFonts w:hint="eastAsia" w:ascii="宋体" w:hAnsi="宋体" w:eastAsia="宋体" w:cs="宋体"/>
                <w:color w:val="000000"/>
                <w:kern w:val="28"/>
                <w:sz w:val="24"/>
                <w:szCs w:val="24"/>
                <w:highlight w:val="none"/>
                <w:lang w:val="en-US" w:eastAsia="zh-CN" w:bidi="ar-SA"/>
              </w:rPr>
              <w:t xml:space="preserve">分。 </w:t>
            </w:r>
          </w:p>
          <w:p w14:paraId="40457A08">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注：（1）以签订合同时间为准，同一业主续签不重复得分，无或未按要求提供证明材料或所提供的证明材料模糊不清导致无法辨认的不得分；</w:t>
            </w:r>
          </w:p>
          <w:p w14:paraId="02C4E4ED">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2）响应文件中提供加盖响应人公章并签字（或盖私章）的《业绩情况一览表》，同时还须提供加盖响应人公章的业绩合同关键页复印件（关键页内容必须清晰阐明项目名称、双方单位名称、合同履行主要内容、合同签订时间或合同约定生效日期或履约期限、合同履行主要内容），未按要求提供的不得分；《业绩情况一览表》的格式参考本采购文件七、响应文件格式，格式七。</w:t>
            </w:r>
          </w:p>
          <w:p w14:paraId="1BC4F6E7">
            <w:pPr>
              <w:pStyle w:val="34"/>
              <w:spacing w:line="360" w:lineRule="auto"/>
              <w:jc w:val="left"/>
              <w:rPr>
                <w:rFonts w:hint="eastAsia" w:ascii="宋体" w:hAnsi="宋体" w:eastAsia="宋体" w:cs="宋体"/>
                <w:b/>
                <w:bCs/>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（3）《业绩情况一览表》中“项目名称、业主名称、合同签订时间或合同约定生效日期或履约期限”为必填项，漏填不得分 。</w:t>
            </w:r>
          </w:p>
          <w:p w14:paraId="6C3293C6">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
                <w:bCs/>
                <w:color w:val="000000"/>
                <w:kern w:val="28"/>
                <w:sz w:val="24"/>
                <w:szCs w:val="24"/>
                <w:highlight w:val="none"/>
                <w:lang w:val="en-US" w:eastAsia="zh-CN" w:bidi="ar-SA"/>
              </w:rPr>
              <w:t>（4）未列入《业绩情况一览表》的业绩，不得分。</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49" w:type="dxa"/>
            <w:gridSpan w:val="2"/>
            <w:noWrap w:val="0"/>
            <w:vAlign w:val="center"/>
          </w:tcPr>
          <w:p w14:paraId="29D4571D">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合计</w:t>
            </w:r>
          </w:p>
        </w:tc>
        <w:tc>
          <w:tcPr>
            <w:tcW w:w="930" w:type="dxa"/>
            <w:noWrap w:val="0"/>
            <w:vAlign w:val="center"/>
          </w:tcPr>
          <w:p w14:paraId="1E674810">
            <w:pPr>
              <w:widowControl/>
              <w:spacing w:line="360" w:lineRule="auto"/>
              <w:jc w:val="center"/>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lang w:val="en-US" w:eastAsia="zh-CN"/>
              </w:rPr>
              <w:t>80</w:t>
            </w:r>
          </w:p>
        </w:tc>
        <w:tc>
          <w:tcPr>
            <w:tcW w:w="8552" w:type="dxa"/>
            <w:noWrap w:val="0"/>
            <w:vAlign w:val="center"/>
          </w:tcPr>
          <w:p w14:paraId="576E56C7">
            <w:pPr>
              <w:widowControl/>
              <w:spacing w:line="360" w:lineRule="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得分总计：</w:t>
            </w:r>
            <w:r>
              <w:rPr>
                <w:rFonts w:hint="eastAsia" w:ascii="宋体" w:hAnsi="宋体" w:eastAsia="宋体" w:cs="宋体"/>
                <w:color w:val="000000"/>
                <w:kern w:val="0"/>
                <w:sz w:val="24"/>
                <w:szCs w:val="24"/>
                <w:highlight w:val="none"/>
                <w:lang w:val="en-US" w:eastAsia="zh-CN"/>
              </w:rPr>
              <w:t>80</w:t>
            </w:r>
          </w:p>
        </w:tc>
      </w:tr>
    </w:tbl>
    <w:p w14:paraId="1B571AB2">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18"/>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39"/>
        <w:spacing w:line="360" w:lineRule="auto"/>
        <w:jc w:val="center"/>
        <w:rPr>
          <w:rFonts w:hint="eastAsia" w:ascii="Times New Roman"/>
          <w:b/>
          <w:kern w:val="2"/>
          <w:sz w:val="36"/>
          <w:szCs w:val="36"/>
          <w:highlight w:val="none"/>
        </w:rPr>
      </w:pPr>
    </w:p>
    <w:p w14:paraId="5FF77E84">
      <w:pPr>
        <w:pStyle w:val="39"/>
        <w:spacing w:line="360" w:lineRule="auto"/>
        <w:jc w:val="center"/>
        <w:rPr>
          <w:rFonts w:hint="eastAsia" w:ascii="Times New Roman"/>
          <w:b/>
          <w:kern w:val="2"/>
          <w:sz w:val="36"/>
          <w:szCs w:val="36"/>
          <w:highlight w:val="none"/>
          <w:lang w:val="en-US" w:eastAsia="zh-CN"/>
        </w:rPr>
      </w:pPr>
    </w:p>
    <w:p w14:paraId="64DA1177">
      <w:pPr>
        <w:pStyle w:val="39"/>
        <w:spacing w:line="360" w:lineRule="auto"/>
        <w:jc w:val="center"/>
        <w:rPr>
          <w:rFonts w:hint="eastAsia" w:ascii="Times New Roman"/>
          <w:b/>
          <w:kern w:val="2"/>
          <w:sz w:val="36"/>
          <w:szCs w:val="36"/>
          <w:highlight w:val="none"/>
          <w:lang w:val="en-US" w:eastAsia="zh-CN"/>
        </w:rPr>
      </w:pPr>
    </w:p>
    <w:p w14:paraId="2DC0B7DE">
      <w:pPr>
        <w:pStyle w:val="39"/>
        <w:spacing w:line="360" w:lineRule="auto"/>
        <w:jc w:val="center"/>
        <w:rPr>
          <w:rFonts w:hint="eastAsia" w:ascii="Times New Roman"/>
          <w:b/>
          <w:kern w:val="2"/>
          <w:sz w:val="36"/>
          <w:szCs w:val="36"/>
          <w:highlight w:val="none"/>
          <w:lang w:val="en-US" w:eastAsia="zh-CN"/>
        </w:rPr>
      </w:pPr>
    </w:p>
    <w:p w14:paraId="18859380">
      <w:pPr>
        <w:pStyle w:val="39"/>
        <w:spacing w:line="360" w:lineRule="auto"/>
        <w:jc w:val="center"/>
        <w:rPr>
          <w:rFonts w:hint="eastAsia" w:ascii="Times New Roman"/>
          <w:b/>
          <w:kern w:val="2"/>
          <w:sz w:val="36"/>
          <w:szCs w:val="36"/>
          <w:highlight w:val="none"/>
          <w:lang w:val="en-US" w:eastAsia="zh-CN"/>
        </w:rPr>
      </w:pPr>
    </w:p>
    <w:p w14:paraId="6F0F784B">
      <w:pPr>
        <w:pStyle w:val="39"/>
        <w:spacing w:line="360" w:lineRule="auto"/>
        <w:jc w:val="center"/>
        <w:rPr>
          <w:rFonts w:hint="eastAsia" w:ascii="Times New Roman"/>
          <w:b/>
          <w:kern w:val="2"/>
          <w:sz w:val="36"/>
          <w:szCs w:val="36"/>
          <w:highlight w:val="none"/>
          <w:lang w:val="en-US" w:eastAsia="zh-CN"/>
        </w:rPr>
      </w:pPr>
    </w:p>
    <w:p w14:paraId="338E6DEA">
      <w:pPr>
        <w:pStyle w:val="39"/>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39"/>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联系人：梁先生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508招标</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39"/>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采购合同</w:t>
      </w:r>
    </w:p>
    <w:p w14:paraId="0A8F7C90">
      <w:pPr>
        <w:rPr>
          <w:highlight w:val="none"/>
        </w:rPr>
      </w:pPr>
    </w:p>
    <w:p w14:paraId="6BA11460">
      <w:pPr>
        <w:tabs>
          <w:tab w:val="left" w:pos="720"/>
        </w:tabs>
        <w:spacing w:line="360" w:lineRule="auto"/>
        <w:jc w:val="center"/>
        <w:rPr>
          <w:rStyle w:val="44"/>
          <w:rFonts w:hint="eastAsia" w:ascii="宋体" w:hAnsi="宋体" w:eastAsia="宋体" w:cs="宋体"/>
          <w:b/>
          <w:color w:val="auto"/>
          <w:sz w:val="24"/>
          <w:szCs w:val="24"/>
          <w:highlight w:val="none"/>
        </w:rPr>
      </w:pPr>
      <w:r>
        <w:rPr>
          <w:rStyle w:val="44"/>
          <w:rFonts w:hint="eastAsia" w:ascii="宋体" w:hAnsi="宋体" w:cs="宋体"/>
          <w:b/>
          <w:color w:val="auto"/>
          <w:sz w:val="24"/>
          <w:szCs w:val="24"/>
          <w:highlight w:val="none"/>
          <w:lang w:eastAsia="zh-CN"/>
        </w:rPr>
        <w:t>中山市中医院“防治康”一体化信息系统验收测评服务项目</w:t>
      </w:r>
      <w:r>
        <w:rPr>
          <w:rStyle w:val="44"/>
          <w:rFonts w:hint="eastAsia" w:ascii="宋体" w:hAnsi="宋体" w:eastAsia="宋体" w:cs="宋体"/>
          <w:b/>
          <w:color w:val="auto"/>
          <w:sz w:val="24"/>
          <w:szCs w:val="24"/>
          <w:highlight w:val="none"/>
        </w:rPr>
        <w:t>合同书</w:t>
      </w:r>
    </w:p>
    <w:p w14:paraId="227C5AFD">
      <w:pPr>
        <w:spacing w:after="0" w:line="360" w:lineRule="auto"/>
        <w:jc w:val="center"/>
        <w:rPr>
          <w:rStyle w:val="44"/>
          <w:rFonts w:hint="eastAsia" w:ascii="宋体" w:hAnsi="宋体" w:eastAsia="宋体" w:cs="宋体"/>
          <w:b/>
          <w:color w:val="auto"/>
          <w:sz w:val="24"/>
          <w:szCs w:val="24"/>
          <w:highlight w:val="none"/>
        </w:rPr>
      </w:pPr>
      <w:r>
        <w:rPr>
          <w:rStyle w:val="44"/>
          <w:rFonts w:hint="eastAsia" w:ascii="宋体" w:hAnsi="宋体" w:eastAsia="宋体" w:cs="宋体"/>
          <w:color w:val="auto"/>
          <w:sz w:val="24"/>
          <w:szCs w:val="24"/>
          <w:highlight w:val="none"/>
          <w:lang w:val="en-US" w:eastAsia="zh-CN"/>
        </w:rPr>
        <w:t xml:space="preserve">                                                    </w:t>
      </w:r>
    </w:p>
    <w:p w14:paraId="7F45ABA7">
      <w:pP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委托方（甲方）：中山市中医院   </w:t>
      </w:r>
    </w:p>
    <w:p w14:paraId="12C4466A">
      <w:pPr>
        <w:rPr>
          <w:rFonts w:hint="eastAsia" w:ascii="宋体" w:hAnsi="宋体" w:eastAsia="宋体" w:cs="宋体"/>
          <w:b/>
          <w:sz w:val="24"/>
          <w:szCs w:val="24"/>
          <w:highlight w:val="none"/>
        </w:rPr>
      </w:pPr>
      <w:r>
        <w:rPr>
          <w:rFonts w:hint="eastAsia" w:ascii="宋体" w:hAnsi="宋体" w:eastAsia="宋体" w:cs="宋体"/>
          <w:b/>
          <w:sz w:val="24"/>
          <w:szCs w:val="24"/>
          <w:highlight w:val="none"/>
        </w:rPr>
        <w:t>受托方（乙方）：</w:t>
      </w:r>
    </w:p>
    <w:p w14:paraId="6BDDC6A3">
      <w:pPr>
        <w:pStyle w:val="34"/>
        <w:ind w:firstLine="480"/>
        <w:jc w:val="both"/>
        <w:rPr>
          <w:highlight w:val="none"/>
        </w:rPr>
      </w:pPr>
      <w:r>
        <w:rPr>
          <w:sz w:val="24"/>
          <w:highlight w:val="none"/>
        </w:rPr>
        <w:t>根据</w:t>
      </w:r>
      <w:r>
        <w:rPr>
          <w:sz w:val="24"/>
          <w:highlight w:val="none"/>
          <w:u w:val="single"/>
        </w:rPr>
        <w:t xml:space="preserve">                       </w:t>
      </w:r>
      <w:r>
        <w:rPr>
          <w:sz w:val="24"/>
          <w:highlight w:val="none"/>
        </w:rPr>
        <w:t>项目招标结果，按照《中华人民共和国政府采购法》、《中华人民共和国民法典》的规定，经双方协商，本着平等互利和诚实信用的原则，一致同意签订本合同如下。</w:t>
      </w:r>
    </w:p>
    <w:p w14:paraId="20857DFE">
      <w:pPr>
        <w:pStyle w:val="34"/>
        <w:ind w:firstLine="456"/>
        <w:jc w:val="both"/>
        <w:rPr>
          <w:highlight w:val="none"/>
        </w:rPr>
      </w:pPr>
      <w:r>
        <w:rPr>
          <w:b/>
          <w:sz w:val="24"/>
          <w:highlight w:val="none"/>
        </w:rPr>
        <w:t>一、合同标的</w:t>
      </w:r>
    </w:p>
    <w:p w14:paraId="56CAFD51">
      <w:pPr>
        <w:pStyle w:val="34"/>
        <w:rPr>
          <w:highlight w:val="none"/>
        </w:rPr>
      </w:pPr>
      <w:r>
        <w:rPr>
          <w:b/>
          <w:highlight w:val="none"/>
        </w:rPr>
        <w:t xml:space="preserve">    </w:t>
      </w:r>
      <w:r>
        <w:rPr>
          <w:sz w:val="24"/>
          <w:highlight w:val="none"/>
        </w:rPr>
        <w:t>包括</w:t>
      </w:r>
      <w:r>
        <w:rPr>
          <w:rFonts w:hint="eastAsia"/>
          <w:sz w:val="24"/>
          <w:highlight w:val="none"/>
          <w:u w:val="single"/>
          <w:lang w:val="en-US" w:eastAsia="zh-CN"/>
        </w:rPr>
        <w:t xml:space="preserve">         </w:t>
      </w:r>
      <w:r>
        <w:rPr>
          <w:rFonts w:hint="eastAsia"/>
          <w:sz w:val="24"/>
          <w:highlight w:val="none"/>
          <w:u w:val="none"/>
          <w:lang w:val="en-US" w:eastAsia="zh-CN"/>
        </w:rPr>
        <w:t>项目招标文件</w:t>
      </w:r>
      <w:r>
        <w:rPr>
          <w:sz w:val="24"/>
          <w:highlight w:val="none"/>
        </w:rPr>
        <w:t>中列明的服务需求，以及附件1所列关于该</w:t>
      </w:r>
      <w:r>
        <w:rPr>
          <w:rFonts w:hint="eastAsia"/>
          <w:sz w:val="24"/>
          <w:highlight w:val="none"/>
          <w:lang w:val="en-US" w:eastAsia="zh-CN"/>
        </w:rPr>
        <w:t>项目</w:t>
      </w:r>
      <w:r>
        <w:rPr>
          <w:sz w:val="24"/>
          <w:highlight w:val="none"/>
        </w:rPr>
        <w:t>的所有内容。</w:t>
      </w:r>
    </w:p>
    <w:p w14:paraId="59232738">
      <w:pPr>
        <w:pStyle w:val="34"/>
        <w:ind w:firstLine="420"/>
        <w:rPr>
          <w:rFonts w:eastAsia="宋体"/>
          <w:b/>
          <w:sz w:val="24"/>
          <w:highlight w:val="none"/>
        </w:rPr>
      </w:pPr>
      <w:r>
        <w:rPr>
          <w:rFonts w:eastAsia="宋体"/>
          <w:b/>
          <w:sz w:val="24"/>
          <w:highlight w:val="none"/>
        </w:rPr>
        <w:t>二、合同金额</w:t>
      </w:r>
    </w:p>
    <w:p w14:paraId="62074ECB">
      <w:pPr>
        <w:pStyle w:val="34"/>
        <w:ind w:firstLine="480"/>
        <w:rPr>
          <w:rFonts w:eastAsia="宋体"/>
          <w:sz w:val="24"/>
          <w:highlight w:val="none"/>
        </w:rPr>
      </w:pPr>
      <w:r>
        <w:rPr>
          <w:rFonts w:eastAsia="宋体"/>
          <w:sz w:val="24"/>
          <w:highlight w:val="none"/>
        </w:rPr>
        <w:t>1.合同总价（含税价）为人民币大写：</w:t>
      </w:r>
      <w:r>
        <w:rPr>
          <w:rFonts w:eastAsia="宋体"/>
          <w:sz w:val="24"/>
          <w:highlight w:val="none"/>
          <w:u w:val="single"/>
        </w:rPr>
        <w:t xml:space="preserve">          </w:t>
      </w:r>
      <w:r>
        <w:rPr>
          <w:rFonts w:eastAsia="宋体"/>
          <w:sz w:val="24"/>
          <w:highlight w:val="none"/>
        </w:rPr>
        <w:t xml:space="preserve">元整（¥ </w:t>
      </w:r>
      <w:r>
        <w:rPr>
          <w:rFonts w:eastAsia="宋体"/>
          <w:sz w:val="24"/>
          <w:highlight w:val="none"/>
          <w:u w:val="single"/>
        </w:rPr>
        <w:t xml:space="preserve">           </w:t>
      </w:r>
      <w:r>
        <w:rPr>
          <w:rFonts w:eastAsia="宋体"/>
          <w:sz w:val="24"/>
          <w:highlight w:val="none"/>
        </w:rPr>
        <w:t>元）。</w:t>
      </w:r>
    </w:p>
    <w:p w14:paraId="6A7E93DD">
      <w:pPr>
        <w:pStyle w:val="34"/>
        <w:ind w:firstLine="480"/>
        <w:rPr>
          <w:highlight w:val="none"/>
        </w:rPr>
      </w:pPr>
      <w:r>
        <w:rPr>
          <w:sz w:val="24"/>
          <w:highlight w:val="none"/>
        </w:rPr>
        <w:t>2.合同总价是乙方在服务期间内全面履行本合同所有义务后，甲方所应支付的所有费用，除此之外甲方无需再支付乙方其他任何费用。</w:t>
      </w:r>
    </w:p>
    <w:p w14:paraId="0C73D738">
      <w:pPr>
        <w:pStyle w:val="34"/>
        <w:ind w:firstLine="420"/>
        <w:rPr>
          <w:highlight w:val="none"/>
        </w:rPr>
      </w:pPr>
      <w:r>
        <w:rPr>
          <w:b/>
          <w:sz w:val="24"/>
          <w:highlight w:val="none"/>
        </w:rPr>
        <w:t>三、服务内容及周期</w:t>
      </w:r>
    </w:p>
    <w:p w14:paraId="36161A87">
      <w:pPr>
        <w:pStyle w:val="34"/>
        <w:ind w:firstLine="482"/>
        <w:jc w:val="both"/>
        <w:rPr>
          <w:highlight w:val="none"/>
        </w:rPr>
      </w:pPr>
      <w:r>
        <w:rPr>
          <w:sz w:val="24"/>
          <w:highlight w:val="none"/>
        </w:rPr>
        <w:t>　</w:t>
      </w:r>
      <w:r>
        <w:rPr>
          <w:b/>
          <w:sz w:val="24"/>
          <w:highlight w:val="none"/>
        </w:rPr>
        <w:t>六、服务内容</w:t>
      </w:r>
    </w:p>
    <w:p w14:paraId="04711D2B">
      <w:pPr>
        <w:pStyle w:val="34"/>
        <w:ind w:firstLine="482"/>
        <w:jc w:val="both"/>
        <w:rPr>
          <w:highlight w:val="none"/>
        </w:rPr>
      </w:pPr>
      <w:r>
        <w:rPr>
          <w:b/>
          <w:sz w:val="24"/>
          <w:highlight w:val="none"/>
        </w:rPr>
        <w:t>（一）测评工作内容</w:t>
      </w:r>
    </w:p>
    <w:p w14:paraId="498C512E">
      <w:pPr>
        <w:pStyle w:val="34"/>
        <w:ind w:firstLine="480"/>
        <w:jc w:val="both"/>
        <w:rPr>
          <w:highlight w:val="none"/>
        </w:rPr>
      </w:pPr>
      <w:r>
        <w:rPr>
          <w:sz w:val="24"/>
          <w:highlight w:val="none"/>
        </w:rPr>
        <w:t>1.符合性检查服务</w:t>
      </w:r>
    </w:p>
    <w:p w14:paraId="570C447A">
      <w:pPr>
        <w:pStyle w:val="34"/>
        <w:ind w:firstLine="480"/>
        <w:jc w:val="both"/>
        <w:rPr>
          <w:highlight w:val="none"/>
        </w:rPr>
      </w:pPr>
      <w:r>
        <w:rPr>
          <w:sz w:val="24"/>
          <w:highlight w:val="none"/>
        </w:rPr>
        <w:t>乙方根据所服务具体信息化项目立项审批意见、立项方案、招标文件、合同书等规定的内容，从内容一致性、规范性、符合性等方面对具体信息化项目实际建设成果进行检查，并提供客观、准确的符合性检查结论。</w:t>
      </w:r>
    </w:p>
    <w:p w14:paraId="101A1309">
      <w:pPr>
        <w:pStyle w:val="34"/>
        <w:ind w:firstLine="480"/>
        <w:jc w:val="both"/>
        <w:rPr>
          <w:highlight w:val="none"/>
        </w:rPr>
      </w:pPr>
      <w:r>
        <w:rPr>
          <w:sz w:val="24"/>
          <w:highlight w:val="none"/>
        </w:rPr>
        <w:t>2.验收测评服务</w:t>
      </w:r>
    </w:p>
    <w:p w14:paraId="4BD8BC8C">
      <w:pPr>
        <w:pStyle w:val="34"/>
        <w:ind w:firstLine="480"/>
        <w:jc w:val="both"/>
        <w:rPr>
          <w:highlight w:val="none"/>
        </w:rPr>
      </w:pPr>
      <w:r>
        <w:rPr>
          <w:sz w:val="24"/>
          <w:highlight w:val="none"/>
        </w:rPr>
        <w:t>乙方根据国家、行业相关标准规范以及所服务具体信息化项目的招标文件、合同书、设计方案、需求规格说明书等所约定的要求，结合具体信息化项目类型，编制相应的测评方案，并根据测评方案中规定的指标和评判标准对具体信息化项目进行现场实地测评，分析评估具体信息化项目是否达标，并对测评中发现的缺陷和不足，提出改进意见，直至出具正式验收测评报告。</w:t>
      </w:r>
    </w:p>
    <w:p w14:paraId="71792927">
      <w:pPr>
        <w:pStyle w:val="34"/>
        <w:ind w:firstLine="480"/>
        <w:jc w:val="both"/>
        <w:rPr>
          <w:highlight w:val="none"/>
        </w:rPr>
      </w:pPr>
      <w:r>
        <w:rPr>
          <w:sz w:val="24"/>
          <w:highlight w:val="none"/>
        </w:rPr>
        <w:t>软件开发类项目包括但不限于信息应用系统测试（功能、性能、可靠性、易用性、接口测试等）、信息资源测试等。系统集成类项目包括但不限于信息应用系统测试（功能、性能、可靠性、易用性、接口测试等）、信息资源测试、信息网络系统测试（机房工程、综合布线、信息网络等）、设备核查等。</w:t>
      </w:r>
    </w:p>
    <w:p w14:paraId="3B0A83FE">
      <w:pPr>
        <w:pStyle w:val="34"/>
        <w:ind w:firstLine="482"/>
        <w:jc w:val="both"/>
        <w:rPr>
          <w:highlight w:val="none"/>
        </w:rPr>
      </w:pPr>
      <w:r>
        <w:rPr>
          <w:b/>
          <w:sz w:val="24"/>
          <w:highlight w:val="none"/>
        </w:rPr>
        <w:t>（二）测评原则</w:t>
      </w:r>
    </w:p>
    <w:p w14:paraId="4629C54E">
      <w:pPr>
        <w:pStyle w:val="34"/>
        <w:ind w:firstLine="480"/>
        <w:jc w:val="both"/>
        <w:rPr>
          <w:highlight w:val="none"/>
        </w:rPr>
      </w:pPr>
      <w:r>
        <w:rPr>
          <w:sz w:val="24"/>
          <w:highlight w:val="none"/>
        </w:rPr>
        <w:t>1.独立性原则。具有独立开展测评项目的调研、分析和规划能力，能够在开展测评工作过程中，不受项目建设单位和其他方面的干扰，独立自主地完成相关工作。</w:t>
      </w:r>
    </w:p>
    <w:p w14:paraId="348FB8D7">
      <w:pPr>
        <w:pStyle w:val="34"/>
        <w:ind w:firstLine="480"/>
        <w:jc w:val="both"/>
        <w:rPr>
          <w:highlight w:val="none"/>
        </w:rPr>
      </w:pPr>
      <w:r>
        <w:rPr>
          <w:sz w:val="24"/>
          <w:highlight w:val="none"/>
        </w:rPr>
        <w:t>2.科学性原则。具有科学的工作程序、测评标准和行为规范，不违背客观规律；能够运用科学的理论、方法、知识和技术，保障测评成果的科学性、客观性、公正性和有效性。</w:t>
      </w:r>
    </w:p>
    <w:p w14:paraId="745D1125">
      <w:pPr>
        <w:pStyle w:val="34"/>
        <w:ind w:firstLine="480"/>
        <w:jc w:val="both"/>
        <w:rPr>
          <w:highlight w:val="none"/>
        </w:rPr>
      </w:pPr>
      <w:r>
        <w:rPr>
          <w:sz w:val="24"/>
          <w:highlight w:val="none"/>
        </w:rPr>
        <w:t>3.公正性原则。开展项目测评和分析评估工作，能够坚持公正、客观的立场，遇到想法和意见存在客观不足的情况时，敢于提出不同意见。</w:t>
      </w:r>
    </w:p>
    <w:p w14:paraId="742809C4">
      <w:pPr>
        <w:pStyle w:val="34"/>
        <w:ind w:firstLine="480"/>
        <w:jc w:val="both"/>
        <w:rPr>
          <w:highlight w:val="none"/>
        </w:rPr>
      </w:pPr>
      <w:r>
        <w:rPr>
          <w:sz w:val="24"/>
          <w:highlight w:val="none"/>
        </w:rPr>
        <w:t>4.标准性原则。依据相关国家标准、行业标准开展测评和分析工作。要求所使用的标准和规范如与乙方所执行的标准不一致时，按较高标准执行。</w:t>
      </w:r>
    </w:p>
    <w:p w14:paraId="61DCBEC5">
      <w:pPr>
        <w:pStyle w:val="34"/>
        <w:ind w:firstLine="480"/>
        <w:jc w:val="both"/>
        <w:rPr>
          <w:highlight w:val="none"/>
        </w:rPr>
      </w:pPr>
      <w:r>
        <w:rPr>
          <w:sz w:val="24"/>
          <w:highlight w:val="none"/>
        </w:rPr>
        <w:t>5.保密原则。对测试和分析服务过程中接触及因项目实施而产生的各种信息，不得泄漏给任何单位和个人，未经允许不得利用这些信息从事与服务无关的活动。</w:t>
      </w:r>
    </w:p>
    <w:p w14:paraId="51F6A1D8">
      <w:pPr>
        <w:pStyle w:val="34"/>
        <w:ind w:firstLine="482"/>
        <w:jc w:val="both"/>
        <w:rPr>
          <w:highlight w:val="none"/>
        </w:rPr>
      </w:pPr>
      <w:r>
        <w:rPr>
          <w:b/>
          <w:sz w:val="24"/>
          <w:highlight w:val="none"/>
        </w:rPr>
        <w:t>（三）测评依据</w:t>
      </w:r>
    </w:p>
    <w:p w14:paraId="07AA202E">
      <w:pPr>
        <w:pStyle w:val="34"/>
        <w:ind w:firstLine="480"/>
        <w:jc w:val="both"/>
        <w:rPr>
          <w:highlight w:val="none"/>
        </w:rPr>
      </w:pPr>
      <w:r>
        <w:rPr>
          <w:sz w:val="24"/>
          <w:highlight w:val="none"/>
        </w:rPr>
        <w:t>包括但不限于以下内容：</w:t>
      </w:r>
    </w:p>
    <w:p w14:paraId="597D1010">
      <w:pPr>
        <w:pStyle w:val="34"/>
        <w:ind w:firstLine="482"/>
        <w:jc w:val="both"/>
        <w:rPr>
          <w:rFonts w:hint="eastAsia"/>
          <w:sz w:val="24"/>
          <w:highlight w:val="none"/>
        </w:rPr>
      </w:pPr>
      <w:r>
        <w:rPr>
          <w:rFonts w:hint="eastAsia"/>
          <w:sz w:val="24"/>
          <w:highlight w:val="none"/>
        </w:rPr>
        <w:t>《系统与软件工程 系统与软件质量要求和评价（SQuaRE）第51部分：就绪可用软件产品（RUSP）的质量要求和评测细则》GB/T 25000.51-2016。</w:t>
      </w:r>
    </w:p>
    <w:p w14:paraId="74E6CFAD">
      <w:pPr>
        <w:pStyle w:val="34"/>
        <w:ind w:firstLine="482"/>
        <w:jc w:val="both"/>
        <w:rPr>
          <w:highlight w:val="none"/>
        </w:rPr>
      </w:pPr>
      <w:r>
        <w:rPr>
          <w:b/>
          <w:sz w:val="24"/>
          <w:highlight w:val="none"/>
        </w:rPr>
        <w:t>七、服务要求</w:t>
      </w:r>
    </w:p>
    <w:p w14:paraId="1913BF54">
      <w:pPr>
        <w:pStyle w:val="34"/>
        <w:ind w:firstLine="480"/>
        <w:jc w:val="both"/>
        <w:rPr>
          <w:highlight w:val="none"/>
        </w:rPr>
      </w:pPr>
      <w:r>
        <w:rPr>
          <w:sz w:val="24"/>
          <w:highlight w:val="none"/>
        </w:rPr>
        <w:t>乙方应对所服务具体信息化项目进行客观、专业地测评，并对测评结果的真实性、合法性、完整性和准确性负责。乙方应在具体信息化项目开展测评之前提交项目测评方案（内容应包括但不限于测评依据、测评内容、针对每项测评内容的测评方法、测评工具、测评过程及每阶段工作内容及提交物、人员组织等），经所服务具体信息化项目建设单位及相关单位确认后开展测评工作。如为高安全等级项目提供验收测评服务，乙方应按照国家（省）保密标准或相关规定开展测评工作。乙方从承接具体信息化项目的测评工作开始，直到具体信息化项目通过测评为止，无论中间反复测评多少轮，均按一个项目的测评费用计算。在本项目服务期限内，如验收测评费额度使用完毕，乙方应协助为厅直单位所申请的信息化项目提供验收测评服务工作。</w:t>
      </w:r>
    </w:p>
    <w:p w14:paraId="6DB77E03">
      <w:pPr>
        <w:pStyle w:val="34"/>
        <w:ind w:firstLine="482"/>
        <w:jc w:val="both"/>
        <w:rPr>
          <w:highlight w:val="none"/>
        </w:rPr>
      </w:pPr>
      <w:r>
        <w:rPr>
          <w:b/>
          <w:sz w:val="24"/>
          <w:highlight w:val="none"/>
        </w:rPr>
        <w:t>（一）进度要求</w:t>
      </w:r>
    </w:p>
    <w:p w14:paraId="33F2B598">
      <w:pPr>
        <w:pStyle w:val="34"/>
        <w:ind w:firstLine="480"/>
        <w:jc w:val="both"/>
        <w:rPr>
          <w:highlight w:val="none"/>
        </w:rPr>
      </w:pPr>
      <w:r>
        <w:rPr>
          <w:sz w:val="24"/>
          <w:highlight w:val="none"/>
        </w:rPr>
        <w:t>1.乙方应在甲方下达具体信息化项目的《验收测评服务委托书》后</w:t>
      </w:r>
      <w:r>
        <w:rPr>
          <w:rFonts w:hint="eastAsia"/>
          <w:sz w:val="24"/>
          <w:highlight w:val="none"/>
          <w:lang w:val="en-US" w:eastAsia="zh-CN"/>
        </w:rPr>
        <w:t xml:space="preserve">  </w:t>
      </w:r>
      <w:r>
        <w:rPr>
          <w:sz w:val="24"/>
          <w:highlight w:val="none"/>
        </w:rPr>
        <w:t>日内完成测评调研、准备等工作，并提交项目测评方案。</w:t>
      </w:r>
    </w:p>
    <w:p w14:paraId="23D14BB5">
      <w:pPr>
        <w:pStyle w:val="34"/>
        <w:ind w:firstLine="480"/>
        <w:jc w:val="both"/>
        <w:rPr>
          <w:highlight w:val="none"/>
        </w:rPr>
      </w:pPr>
      <w:r>
        <w:rPr>
          <w:sz w:val="24"/>
          <w:highlight w:val="none"/>
        </w:rPr>
        <w:t>2.乙方在具体信息化项目首轮测评后</w:t>
      </w:r>
      <w:r>
        <w:rPr>
          <w:rFonts w:hint="eastAsia"/>
          <w:sz w:val="24"/>
          <w:highlight w:val="none"/>
          <w:lang w:val="en-US" w:eastAsia="zh-CN"/>
        </w:rPr>
        <w:t xml:space="preserve">  </w:t>
      </w:r>
      <w:r>
        <w:rPr>
          <w:sz w:val="24"/>
          <w:highlight w:val="none"/>
        </w:rPr>
        <w:t>日内，提交完整的问题清单。</w:t>
      </w:r>
    </w:p>
    <w:p w14:paraId="25718678">
      <w:pPr>
        <w:pStyle w:val="34"/>
        <w:ind w:firstLine="480"/>
        <w:jc w:val="both"/>
        <w:rPr>
          <w:highlight w:val="none"/>
        </w:rPr>
      </w:pPr>
      <w:r>
        <w:rPr>
          <w:sz w:val="24"/>
          <w:highlight w:val="none"/>
        </w:rPr>
        <w:t>3.乙方进行回归测试，确认具体信息化项目提交的问题全部整改完毕后</w:t>
      </w:r>
      <w:r>
        <w:rPr>
          <w:rFonts w:hint="eastAsia"/>
          <w:sz w:val="24"/>
          <w:highlight w:val="none"/>
          <w:lang w:val="en-US" w:eastAsia="zh-CN"/>
        </w:rPr>
        <w:t xml:space="preserve">  </w:t>
      </w:r>
      <w:r>
        <w:rPr>
          <w:sz w:val="24"/>
          <w:highlight w:val="none"/>
        </w:rPr>
        <w:t>日内，提交《项目验收测评报告》。</w:t>
      </w:r>
    </w:p>
    <w:p w14:paraId="1AFE4564">
      <w:pPr>
        <w:pStyle w:val="34"/>
        <w:ind w:firstLine="482"/>
        <w:jc w:val="both"/>
        <w:rPr>
          <w:highlight w:val="none"/>
        </w:rPr>
      </w:pPr>
      <w:r>
        <w:rPr>
          <w:b/>
          <w:sz w:val="24"/>
          <w:highlight w:val="none"/>
        </w:rPr>
        <w:t>（二）测评流程要求</w:t>
      </w:r>
    </w:p>
    <w:p w14:paraId="04BDB3FD">
      <w:pPr>
        <w:pStyle w:val="34"/>
        <w:ind w:firstLine="480"/>
        <w:jc w:val="both"/>
        <w:rPr>
          <w:highlight w:val="none"/>
        </w:rPr>
      </w:pPr>
      <w:r>
        <w:rPr>
          <w:sz w:val="24"/>
          <w:highlight w:val="none"/>
        </w:rPr>
        <w:t>乙方为每次的现场测评提供明确的测评结果、完整的问题清单及解决问题的方法。测评总体流程如下：</w:t>
      </w:r>
    </w:p>
    <w:p w14:paraId="0B1D63CC">
      <w:pPr>
        <w:pStyle w:val="34"/>
        <w:ind w:firstLine="480"/>
        <w:jc w:val="both"/>
        <w:rPr>
          <w:highlight w:val="none"/>
        </w:rPr>
      </w:pPr>
      <w:r>
        <w:rPr>
          <w:sz w:val="24"/>
          <w:highlight w:val="none"/>
        </w:rPr>
        <w:t>1.测评调研：对所服务具体信息化项目进行调研。</w:t>
      </w:r>
    </w:p>
    <w:p w14:paraId="6E6E8F64">
      <w:pPr>
        <w:pStyle w:val="34"/>
        <w:ind w:firstLine="480"/>
        <w:jc w:val="both"/>
        <w:rPr>
          <w:highlight w:val="none"/>
        </w:rPr>
      </w:pPr>
      <w:r>
        <w:rPr>
          <w:sz w:val="24"/>
          <w:highlight w:val="none"/>
        </w:rPr>
        <w:t>2.测评准备：测评计划、测评方案、测试脚本等编制和准备。</w:t>
      </w:r>
    </w:p>
    <w:p w14:paraId="248A58CE">
      <w:pPr>
        <w:pStyle w:val="34"/>
        <w:ind w:firstLine="480"/>
        <w:jc w:val="both"/>
        <w:rPr>
          <w:highlight w:val="none"/>
        </w:rPr>
      </w:pPr>
      <w:r>
        <w:rPr>
          <w:sz w:val="24"/>
          <w:highlight w:val="none"/>
        </w:rPr>
        <w:t>3.测评方案确认：所服务具体信息化项目建设单位及相关单位对测评方案进行确认。</w:t>
      </w:r>
    </w:p>
    <w:p w14:paraId="21690862">
      <w:pPr>
        <w:pStyle w:val="34"/>
        <w:ind w:firstLine="480"/>
        <w:jc w:val="both"/>
        <w:rPr>
          <w:highlight w:val="none"/>
        </w:rPr>
      </w:pPr>
      <w:r>
        <w:rPr>
          <w:sz w:val="24"/>
          <w:highlight w:val="none"/>
        </w:rPr>
        <w:t>4.测评执行：甲方协调所服务具体信息化项目建设单位及相关单位配合完成测评方案中要求的所有内容，测评单位填写详细测评记录。</w:t>
      </w:r>
    </w:p>
    <w:p w14:paraId="50B59B6D">
      <w:pPr>
        <w:pStyle w:val="34"/>
        <w:ind w:firstLine="480"/>
        <w:jc w:val="both"/>
        <w:rPr>
          <w:highlight w:val="none"/>
        </w:rPr>
      </w:pPr>
      <w:r>
        <w:rPr>
          <w:sz w:val="24"/>
          <w:highlight w:val="none"/>
        </w:rPr>
        <w:t>5.提交完整的测评问题清单。</w:t>
      </w:r>
    </w:p>
    <w:p w14:paraId="002ACE91">
      <w:pPr>
        <w:pStyle w:val="34"/>
        <w:ind w:firstLine="480"/>
        <w:jc w:val="both"/>
        <w:rPr>
          <w:highlight w:val="none"/>
        </w:rPr>
      </w:pPr>
      <w:r>
        <w:rPr>
          <w:sz w:val="24"/>
          <w:highlight w:val="none"/>
        </w:rPr>
        <w:t>6.回归测试：对测试中发现的故障及影响范围进行回归测试。</w:t>
      </w:r>
    </w:p>
    <w:p w14:paraId="4488E896">
      <w:pPr>
        <w:pStyle w:val="34"/>
        <w:ind w:firstLine="480"/>
        <w:jc w:val="both"/>
        <w:rPr>
          <w:highlight w:val="none"/>
        </w:rPr>
      </w:pPr>
      <w:r>
        <w:rPr>
          <w:sz w:val="24"/>
          <w:highlight w:val="none"/>
        </w:rPr>
        <w:t>7.测评报告编制：乙方编制验收测评报告及组织内部审核后，提交所服务具体信息化项目建设单位及相关单位确认。</w:t>
      </w:r>
    </w:p>
    <w:p w14:paraId="4DDF6742">
      <w:pPr>
        <w:pStyle w:val="34"/>
        <w:ind w:firstLine="480"/>
        <w:jc w:val="both"/>
        <w:rPr>
          <w:highlight w:val="none"/>
        </w:rPr>
      </w:pPr>
      <w:r>
        <w:rPr>
          <w:sz w:val="24"/>
          <w:highlight w:val="none"/>
        </w:rPr>
        <w:t>8.提交正式《项目验收测评报告》。</w:t>
      </w:r>
    </w:p>
    <w:p w14:paraId="0743FD35">
      <w:pPr>
        <w:pStyle w:val="34"/>
        <w:ind w:firstLine="482"/>
        <w:jc w:val="both"/>
        <w:rPr>
          <w:highlight w:val="none"/>
        </w:rPr>
      </w:pPr>
      <w:r>
        <w:rPr>
          <w:b/>
          <w:sz w:val="24"/>
          <w:highlight w:val="none"/>
        </w:rPr>
        <w:t>（三）测评设备要求</w:t>
      </w:r>
    </w:p>
    <w:p w14:paraId="6D88E80A">
      <w:pPr>
        <w:pStyle w:val="34"/>
        <w:ind w:firstLine="480"/>
        <w:jc w:val="both"/>
        <w:rPr>
          <w:highlight w:val="none"/>
        </w:rPr>
      </w:pPr>
      <w:r>
        <w:rPr>
          <w:sz w:val="24"/>
          <w:highlight w:val="none"/>
        </w:rPr>
        <w:t>乙方应自备项目测评所需的专用测试工具、仪器设备、软件工具等（用于测评高安全等级项目的工作计算机，应确保专门服务甲方项目，并在项目结束后拆除硬盘交付甲方）。</w:t>
      </w:r>
    </w:p>
    <w:p w14:paraId="795CE48E">
      <w:pPr>
        <w:pStyle w:val="34"/>
        <w:ind w:firstLine="482"/>
        <w:jc w:val="both"/>
        <w:rPr>
          <w:highlight w:val="none"/>
        </w:rPr>
      </w:pPr>
      <w:r>
        <w:rPr>
          <w:b/>
          <w:sz w:val="24"/>
          <w:highlight w:val="none"/>
        </w:rPr>
        <w:t>（四）测评质量要求</w:t>
      </w:r>
    </w:p>
    <w:p w14:paraId="39C9DA4F">
      <w:pPr>
        <w:pStyle w:val="34"/>
        <w:ind w:firstLine="480"/>
        <w:jc w:val="both"/>
        <w:rPr>
          <w:highlight w:val="none"/>
        </w:rPr>
      </w:pPr>
      <w:r>
        <w:rPr>
          <w:sz w:val="24"/>
          <w:highlight w:val="none"/>
        </w:rPr>
        <w:t>1.乙方在测评过程中，应通过各类评审和质量监督措施，保证测评过程、测评工作成果的质量。</w:t>
      </w:r>
    </w:p>
    <w:p w14:paraId="2A73F2FC">
      <w:pPr>
        <w:pStyle w:val="34"/>
        <w:ind w:firstLine="480"/>
        <w:jc w:val="both"/>
        <w:rPr>
          <w:highlight w:val="none"/>
        </w:rPr>
      </w:pPr>
      <w:r>
        <w:rPr>
          <w:sz w:val="24"/>
          <w:highlight w:val="none"/>
        </w:rPr>
        <w:t>2.乙方应配套提供完善的支撑过程，将测评过程的主要成果、问题的提交、确认、跟踪、整改和监督纳入管控，支持项目各方协同、高效、规范地推进项目。</w:t>
      </w:r>
    </w:p>
    <w:p w14:paraId="05E537CF">
      <w:pPr>
        <w:pStyle w:val="34"/>
        <w:ind w:firstLine="480"/>
        <w:jc w:val="both"/>
        <w:rPr>
          <w:highlight w:val="none"/>
        </w:rPr>
      </w:pPr>
      <w:r>
        <w:rPr>
          <w:sz w:val="24"/>
          <w:highlight w:val="none"/>
        </w:rPr>
        <w:t>3.验收测评报告内容及数据应准确、完整、客观、公正，并加盖CMA或CNAS认可标识。</w:t>
      </w:r>
    </w:p>
    <w:p w14:paraId="41B9ED0D">
      <w:pPr>
        <w:pStyle w:val="34"/>
        <w:ind w:firstLine="482"/>
        <w:jc w:val="both"/>
        <w:rPr>
          <w:highlight w:val="none"/>
        </w:rPr>
      </w:pPr>
      <w:r>
        <w:rPr>
          <w:b/>
          <w:sz w:val="24"/>
          <w:highlight w:val="none"/>
        </w:rPr>
        <w:t>（五）测评成果要求</w:t>
      </w:r>
    </w:p>
    <w:p w14:paraId="4EC0B0CC">
      <w:pPr>
        <w:pStyle w:val="34"/>
        <w:ind w:firstLine="480"/>
        <w:jc w:val="both"/>
        <w:rPr>
          <w:highlight w:val="none"/>
        </w:rPr>
      </w:pPr>
      <w:r>
        <w:rPr>
          <w:sz w:val="24"/>
          <w:highlight w:val="none"/>
        </w:rPr>
        <w:t>乙方完成所服务具体信息化项目测评工作后，应提交对应项目的《项目测评方案》《项目验收测评报告》及测试用例、测试原始记录等材料。</w:t>
      </w:r>
    </w:p>
    <w:p w14:paraId="4D1BF742">
      <w:pPr>
        <w:pStyle w:val="34"/>
        <w:ind w:firstLine="480"/>
        <w:jc w:val="both"/>
        <w:rPr>
          <w:highlight w:val="none"/>
        </w:rPr>
      </w:pPr>
      <w:r>
        <w:rPr>
          <w:b/>
          <w:sz w:val="24"/>
          <w:highlight w:val="none"/>
        </w:rPr>
        <w:t>八、保密要求</w:t>
      </w:r>
    </w:p>
    <w:p w14:paraId="2E9F7520">
      <w:pPr>
        <w:pStyle w:val="34"/>
        <w:ind w:firstLine="480"/>
        <w:jc w:val="both"/>
        <w:rPr>
          <w:highlight w:val="none"/>
        </w:rPr>
      </w:pPr>
      <w:r>
        <w:rPr>
          <w:sz w:val="24"/>
          <w:highlight w:val="none"/>
        </w:rPr>
        <w:t>1.乙方应遵守甲方各项规章制度、工作流程和安全保密规定，接受甲方日常工作管理，做好安全检查与防范工作。</w:t>
      </w:r>
    </w:p>
    <w:p w14:paraId="305541A1">
      <w:pPr>
        <w:pStyle w:val="34"/>
        <w:ind w:firstLine="480"/>
        <w:jc w:val="both"/>
        <w:rPr>
          <w:highlight w:val="none"/>
        </w:rPr>
      </w:pPr>
      <w:r>
        <w:rPr>
          <w:sz w:val="24"/>
          <w:highlight w:val="none"/>
        </w:rPr>
        <w:t>2.乙方须和甲方签订合作企业、合作人员安全保密承诺书，接受甲方安全审查，遵守甲方运维场地要求和设备安全要求。</w:t>
      </w:r>
    </w:p>
    <w:p w14:paraId="33B6AB7B">
      <w:pPr>
        <w:pStyle w:val="34"/>
        <w:ind w:firstLine="480"/>
        <w:jc w:val="both"/>
        <w:rPr>
          <w:highlight w:val="none"/>
        </w:rPr>
      </w:pPr>
      <w:r>
        <w:rPr>
          <w:sz w:val="24"/>
          <w:highlight w:val="none"/>
        </w:rPr>
        <w:t>3.乙方对甲方所提供的所有资料以及在合同签订、履行过程中所接触到的甲方及其关联公司的商业秘密、技术文件等资料（统称“保密资料”）负有保密义务。</w:t>
      </w:r>
    </w:p>
    <w:p w14:paraId="09E69DD8">
      <w:pPr>
        <w:pStyle w:val="34"/>
        <w:ind w:firstLine="480"/>
        <w:jc w:val="both"/>
        <w:rPr>
          <w:highlight w:val="none"/>
        </w:rPr>
      </w:pPr>
      <w:r>
        <w:rPr>
          <w:sz w:val="24"/>
          <w:highlight w:val="none"/>
        </w:rPr>
        <w:t>4.未经甲方书面同意，乙方不得直接、间接地透露或提供本项目相关资料以及保密资料给任何第三方，或用于本合同约定事项以外的其他用途；不得擅自扩大与合作事项相关信息的知悉范围，要及时清除、收回离职离岗或者不再参与信息化建设或运维人员持有的甲方文档资料、数据等。乙方可仅为合同目的向其内部有知悉保密资料必要的雇员披露保密资料，但同时须指示其雇员遵守本条规定的保密及不披露义务。</w:t>
      </w:r>
    </w:p>
    <w:p w14:paraId="7E7E3C34">
      <w:pPr>
        <w:pStyle w:val="34"/>
        <w:ind w:firstLine="480"/>
        <w:jc w:val="both"/>
        <w:rPr>
          <w:highlight w:val="none"/>
        </w:rPr>
      </w:pPr>
      <w:r>
        <w:rPr>
          <w:sz w:val="24"/>
          <w:highlight w:val="none"/>
        </w:rPr>
        <w:t>5.乙方仅可以在履行合同之目的对保密资料进行复制。乙方不得以任何方式（如软硬盘、图纸、照片、光盘等）留存保密资料。乙方应当在完成委托事项或本合同终止、解除时，将保密资料原件全部返还甲方，并销毁所有复制件。乙方应当妥善保管保密资料，并对保密资料发生的被盗、泄露或其他有损保密资料保密性的事件承担全部责任。</w:t>
      </w:r>
    </w:p>
    <w:p w14:paraId="7644A93E">
      <w:pPr>
        <w:pStyle w:val="34"/>
        <w:ind w:firstLine="480"/>
        <w:jc w:val="both"/>
        <w:rPr>
          <w:highlight w:val="none"/>
        </w:rPr>
      </w:pPr>
      <w:r>
        <w:rPr>
          <w:sz w:val="24"/>
          <w:highlight w:val="none"/>
        </w:rPr>
        <w:t>6.本保密条款自保密资料提供或披露之日起至永久有效。</w:t>
      </w:r>
    </w:p>
    <w:p w14:paraId="21751E1B">
      <w:pPr>
        <w:pStyle w:val="34"/>
        <w:ind w:firstLine="420"/>
        <w:rPr>
          <w:rFonts w:eastAsia="宋体"/>
          <w:b/>
          <w:sz w:val="24"/>
          <w:highlight w:val="none"/>
        </w:rPr>
      </w:pPr>
      <w:r>
        <w:rPr>
          <w:rFonts w:hint="eastAsia" w:eastAsia="宋体"/>
          <w:b/>
          <w:sz w:val="24"/>
          <w:highlight w:val="none"/>
          <w:lang w:val="en-US" w:eastAsia="zh-CN"/>
        </w:rPr>
        <w:t>九</w:t>
      </w:r>
      <w:r>
        <w:rPr>
          <w:rFonts w:eastAsia="宋体"/>
          <w:b/>
          <w:sz w:val="24"/>
          <w:highlight w:val="none"/>
        </w:rPr>
        <w:t>、付款方式</w:t>
      </w:r>
    </w:p>
    <w:p w14:paraId="4AD93A57">
      <w:pPr>
        <w:pStyle w:val="34"/>
        <w:jc w:val="both"/>
        <w:rPr>
          <w:rFonts w:hint="eastAsia"/>
          <w:sz w:val="24"/>
          <w:highlight w:val="none"/>
          <w:lang w:val="en-US" w:eastAsia="zh-CN"/>
        </w:rPr>
      </w:pPr>
      <w:r>
        <w:rPr>
          <w:rFonts w:hint="eastAsia"/>
          <w:sz w:val="24"/>
          <w:highlight w:val="none"/>
          <w:lang w:val="en-US" w:eastAsia="zh-CN"/>
        </w:rPr>
        <w:t>...</w:t>
      </w:r>
    </w:p>
    <w:p w14:paraId="55518C36">
      <w:pPr>
        <w:pStyle w:val="34"/>
        <w:ind w:firstLine="420"/>
        <w:rPr>
          <w:rFonts w:eastAsia="宋体"/>
          <w:b/>
          <w:sz w:val="24"/>
          <w:highlight w:val="none"/>
        </w:rPr>
      </w:pPr>
      <w:r>
        <w:rPr>
          <w:rFonts w:eastAsia="宋体"/>
          <w:b/>
          <w:sz w:val="24"/>
          <w:highlight w:val="none"/>
        </w:rPr>
        <w:t>十、权利和义务</w:t>
      </w:r>
    </w:p>
    <w:p w14:paraId="504133EE">
      <w:pPr>
        <w:pStyle w:val="34"/>
        <w:ind w:firstLine="482"/>
        <w:jc w:val="both"/>
        <w:rPr>
          <w:highlight w:val="none"/>
        </w:rPr>
      </w:pPr>
      <w:r>
        <w:rPr>
          <w:b/>
          <w:sz w:val="24"/>
          <w:highlight w:val="none"/>
        </w:rPr>
        <w:t>1.甲方的权利和义务</w:t>
      </w:r>
    </w:p>
    <w:p w14:paraId="7E7AFF08">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对乙方的测评服务工作进行监督。</w:t>
      </w:r>
    </w:p>
    <w:p w14:paraId="23550F15">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如乙方在测评服务过程中有违法违规行为，甲方可以解除合同，并追究乙方的违约责任。</w:t>
      </w:r>
    </w:p>
    <w:p w14:paraId="73E03B47">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rPr>
        <w:t>协调所服务项目相关单位为乙方提供测评服务工作相关技术材料和测试环境。</w:t>
      </w:r>
    </w:p>
    <w:p w14:paraId="144E5DF4">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4</w:t>
      </w:r>
      <w:r>
        <w:rPr>
          <w:rFonts w:hint="eastAsia"/>
          <w:sz w:val="24"/>
          <w:highlight w:val="none"/>
          <w:lang w:eastAsia="zh-CN"/>
        </w:rPr>
        <w:t>）</w:t>
      </w:r>
      <w:r>
        <w:rPr>
          <w:rFonts w:hint="eastAsia"/>
          <w:sz w:val="24"/>
          <w:highlight w:val="none"/>
        </w:rPr>
        <w:t>协调安排所服务项目相关单位配合完成测评工作。</w:t>
      </w:r>
    </w:p>
    <w:p w14:paraId="6E990056">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5</w:t>
      </w:r>
      <w:r>
        <w:rPr>
          <w:rFonts w:hint="eastAsia"/>
          <w:sz w:val="24"/>
          <w:highlight w:val="none"/>
          <w:lang w:eastAsia="zh-CN"/>
        </w:rPr>
        <w:t>）</w:t>
      </w:r>
      <w:r>
        <w:rPr>
          <w:rFonts w:hint="eastAsia"/>
          <w:sz w:val="24"/>
          <w:highlight w:val="none"/>
        </w:rPr>
        <w:t>监督和检查乙方的工作进度、质量及纪律遵守情况。</w:t>
      </w:r>
    </w:p>
    <w:p w14:paraId="6A1C6836">
      <w:pPr>
        <w:pStyle w:val="34"/>
        <w:ind w:firstLine="482"/>
        <w:jc w:val="both"/>
        <w:rPr>
          <w:rFonts w:hint="eastAsia"/>
          <w:sz w:val="24"/>
          <w:highlight w:val="none"/>
        </w:rPr>
      </w:pPr>
      <w:r>
        <w:rPr>
          <w:rFonts w:hint="eastAsia"/>
          <w:sz w:val="24"/>
          <w:highlight w:val="none"/>
          <w:lang w:eastAsia="zh-CN"/>
        </w:rPr>
        <w:t>（</w:t>
      </w:r>
      <w:r>
        <w:rPr>
          <w:rFonts w:hint="eastAsia"/>
          <w:sz w:val="24"/>
          <w:highlight w:val="none"/>
          <w:lang w:val="en-US" w:eastAsia="zh-CN"/>
        </w:rPr>
        <w:t>6</w:t>
      </w:r>
      <w:r>
        <w:rPr>
          <w:rFonts w:hint="eastAsia"/>
          <w:sz w:val="24"/>
          <w:highlight w:val="none"/>
          <w:lang w:eastAsia="zh-CN"/>
        </w:rPr>
        <w:t>）</w:t>
      </w:r>
      <w:r>
        <w:rPr>
          <w:rFonts w:hint="eastAsia"/>
          <w:sz w:val="24"/>
          <w:highlight w:val="none"/>
        </w:rPr>
        <w:t>按本合同规定支付项目费用。</w:t>
      </w:r>
    </w:p>
    <w:p w14:paraId="6749CF32">
      <w:pPr>
        <w:pStyle w:val="34"/>
        <w:ind w:firstLine="482"/>
        <w:jc w:val="both"/>
        <w:rPr>
          <w:highlight w:val="none"/>
        </w:rPr>
      </w:pPr>
      <w:r>
        <w:rPr>
          <w:b/>
          <w:sz w:val="24"/>
          <w:highlight w:val="none"/>
        </w:rPr>
        <w:t>2.乙方的权利和义务</w:t>
      </w:r>
    </w:p>
    <w:p w14:paraId="40DD66C1">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要求甲方为测评服务工作的开展提供必要的资料和便利。</w:t>
      </w:r>
    </w:p>
    <w:p w14:paraId="206D8CC4">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要求甲方按合同条款及时支付项目费用。</w:t>
      </w:r>
    </w:p>
    <w:p w14:paraId="0EA260A1">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rPr>
        <w:t>严格执行广东省公安厅信息化项目管理相关要求，根据相关测试规范和标准严谨有序地开展测评工作。</w:t>
      </w:r>
    </w:p>
    <w:p w14:paraId="3A8074BE">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4</w:t>
      </w:r>
      <w:r>
        <w:rPr>
          <w:rFonts w:hint="eastAsia"/>
          <w:sz w:val="24"/>
          <w:highlight w:val="none"/>
          <w:lang w:eastAsia="zh-CN"/>
        </w:rPr>
        <w:t>）</w:t>
      </w:r>
      <w:r>
        <w:rPr>
          <w:rFonts w:hint="eastAsia"/>
          <w:sz w:val="24"/>
          <w:highlight w:val="none"/>
        </w:rPr>
        <w:t>根据甲方需求，组建完善、稳定的服务团队，及时响应，保障服务质量。</w:t>
      </w:r>
    </w:p>
    <w:p w14:paraId="653F0F74">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5</w:t>
      </w:r>
      <w:r>
        <w:rPr>
          <w:rFonts w:hint="eastAsia"/>
          <w:sz w:val="24"/>
          <w:highlight w:val="none"/>
          <w:lang w:eastAsia="zh-CN"/>
        </w:rPr>
        <w:t>）</w:t>
      </w:r>
      <w:r>
        <w:rPr>
          <w:rFonts w:hint="eastAsia"/>
          <w:sz w:val="24"/>
          <w:highlight w:val="none"/>
        </w:rPr>
        <w:t>制定项目实施计划，定期汇报项目测评进展情况，及时报告过程中发现的问题。本项目乙方的联系代表为：         ，联系电话：            。</w:t>
      </w:r>
    </w:p>
    <w:p w14:paraId="135E1565">
      <w:pPr>
        <w:pStyle w:val="34"/>
        <w:ind w:firstLine="420"/>
        <w:rPr>
          <w:rFonts w:hint="eastAsia"/>
          <w:sz w:val="24"/>
          <w:highlight w:val="none"/>
        </w:rPr>
      </w:pPr>
      <w:r>
        <w:rPr>
          <w:rFonts w:hint="eastAsia"/>
          <w:sz w:val="24"/>
          <w:highlight w:val="none"/>
          <w:lang w:eastAsia="zh-CN"/>
        </w:rPr>
        <w:t>（</w:t>
      </w:r>
      <w:r>
        <w:rPr>
          <w:rFonts w:hint="eastAsia"/>
          <w:sz w:val="24"/>
          <w:highlight w:val="none"/>
          <w:lang w:val="en-US" w:eastAsia="zh-CN"/>
        </w:rPr>
        <w:t>6</w:t>
      </w:r>
      <w:r>
        <w:rPr>
          <w:rFonts w:hint="eastAsia"/>
          <w:sz w:val="24"/>
          <w:highlight w:val="none"/>
          <w:lang w:eastAsia="zh-CN"/>
        </w:rPr>
        <w:t>）</w:t>
      </w:r>
      <w:r>
        <w:rPr>
          <w:rFonts w:hint="eastAsia"/>
          <w:sz w:val="24"/>
          <w:highlight w:val="none"/>
        </w:rPr>
        <w:t>在履行本合同期间应接受甲方的服务质量检查。</w:t>
      </w:r>
    </w:p>
    <w:p w14:paraId="53907009">
      <w:pPr>
        <w:pStyle w:val="34"/>
        <w:ind w:firstLine="482"/>
        <w:jc w:val="both"/>
        <w:rPr>
          <w:highlight w:val="none"/>
        </w:rPr>
      </w:pPr>
      <w:r>
        <w:rPr>
          <w:b/>
          <w:sz w:val="24"/>
          <w:highlight w:val="none"/>
        </w:rPr>
        <w:t>十</w:t>
      </w:r>
      <w:r>
        <w:rPr>
          <w:rFonts w:hint="eastAsia"/>
          <w:b/>
          <w:sz w:val="24"/>
          <w:highlight w:val="none"/>
          <w:lang w:val="en-US" w:eastAsia="zh-CN"/>
        </w:rPr>
        <w:t>一</w:t>
      </w:r>
      <w:r>
        <w:rPr>
          <w:b/>
          <w:sz w:val="24"/>
          <w:highlight w:val="none"/>
        </w:rPr>
        <w:t>、验收要求</w:t>
      </w:r>
    </w:p>
    <w:p w14:paraId="7A1A246A">
      <w:pPr>
        <w:pStyle w:val="34"/>
        <w:spacing w:after="120"/>
        <w:ind w:firstLine="480"/>
        <w:jc w:val="both"/>
        <w:rPr>
          <w:highlight w:val="none"/>
        </w:rPr>
      </w:pPr>
      <w:r>
        <w:rPr>
          <w:sz w:val="24"/>
          <w:highlight w:val="none"/>
        </w:rPr>
        <w:t>乙方完成合同约定的服务内容，经所服务的具体信息化项目相关单位确认交付成果，且所服务的具体信息化项目全部完成终验及服务考核（所有服务考核等级没有C级），视为整体验收测评服务通过验收。</w:t>
      </w:r>
    </w:p>
    <w:p w14:paraId="0C9772D2">
      <w:pPr>
        <w:pStyle w:val="34"/>
        <w:ind w:firstLine="420"/>
        <w:rPr>
          <w:rFonts w:eastAsia="宋体"/>
          <w:b/>
          <w:sz w:val="24"/>
          <w:highlight w:val="none"/>
        </w:rPr>
      </w:pPr>
      <w:r>
        <w:rPr>
          <w:rFonts w:eastAsia="宋体"/>
          <w:b/>
          <w:sz w:val="24"/>
          <w:highlight w:val="none"/>
        </w:rPr>
        <w:t>十</w:t>
      </w:r>
      <w:r>
        <w:rPr>
          <w:rFonts w:hint="eastAsia" w:eastAsia="宋体"/>
          <w:b/>
          <w:sz w:val="24"/>
          <w:highlight w:val="none"/>
          <w:lang w:val="en-US" w:eastAsia="zh-CN"/>
        </w:rPr>
        <w:t>二</w:t>
      </w:r>
      <w:r>
        <w:rPr>
          <w:rFonts w:eastAsia="宋体"/>
          <w:b/>
          <w:sz w:val="24"/>
          <w:highlight w:val="none"/>
        </w:rPr>
        <w:t>、违约责任</w:t>
      </w:r>
    </w:p>
    <w:p w14:paraId="2F356BF3">
      <w:pPr>
        <w:pStyle w:val="34"/>
        <w:ind w:firstLine="480"/>
        <w:jc w:val="both"/>
        <w:rPr>
          <w:highlight w:val="none"/>
        </w:rPr>
      </w:pPr>
      <w:r>
        <w:rPr>
          <w:sz w:val="24"/>
          <w:highlight w:val="none"/>
        </w:rPr>
        <w:t>（</w:t>
      </w:r>
      <w:r>
        <w:rPr>
          <w:rFonts w:hint="eastAsia"/>
          <w:sz w:val="24"/>
          <w:highlight w:val="none"/>
          <w:lang w:val="en-US" w:eastAsia="zh-CN"/>
        </w:rPr>
        <w:t>1</w:t>
      </w:r>
      <w:r>
        <w:rPr>
          <w:sz w:val="24"/>
          <w:highlight w:val="none"/>
        </w:rPr>
        <w:t>）甲方无正当理由到期拒付服务款项的或逾期付款的，则每日按本逾期未付款的</w:t>
      </w:r>
      <w:r>
        <w:rPr>
          <w:sz w:val="24"/>
          <w:highlight w:val="none"/>
          <w:u w:val="single"/>
        </w:rPr>
        <w:t>0.3%</w:t>
      </w:r>
      <w:r>
        <w:rPr>
          <w:sz w:val="24"/>
          <w:highlight w:val="none"/>
        </w:rPr>
        <w:t>向乙方支付违约金，违约金累积不超过合同总价的</w:t>
      </w:r>
      <w:r>
        <w:rPr>
          <w:sz w:val="24"/>
          <w:highlight w:val="none"/>
          <w:u w:val="single"/>
        </w:rPr>
        <w:t>20%</w:t>
      </w:r>
      <w:r>
        <w:rPr>
          <w:sz w:val="24"/>
          <w:highlight w:val="none"/>
        </w:rPr>
        <w:t>。</w:t>
      </w:r>
    </w:p>
    <w:p w14:paraId="5CD9DE4C">
      <w:pPr>
        <w:pStyle w:val="34"/>
        <w:ind w:firstLine="480"/>
        <w:jc w:val="both"/>
        <w:rPr>
          <w:highlight w:val="none"/>
        </w:rPr>
      </w:pPr>
      <w:r>
        <w:rPr>
          <w:sz w:val="24"/>
          <w:highlight w:val="none"/>
        </w:rPr>
        <w:t>（</w:t>
      </w:r>
      <w:r>
        <w:rPr>
          <w:rFonts w:hint="eastAsia"/>
          <w:sz w:val="24"/>
          <w:highlight w:val="none"/>
          <w:lang w:val="en-US" w:eastAsia="zh-CN"/>
        </w:rPr>
        <w:t>2</w:t>
      </w:r>
      <w:r>
        <w:rPr>
          <w:sz w:val="24"/>
          <w:highlight w:val="none"/>
        </w:rPr>
        <w:t>）乙方未能按本合同规定的时间提供服务，从逾期之日起每日按本合同总价的</w:t>
      </w:r>
      <w:r>
        <w:rPr>
          <w:sz w:val="24"/>
          <w:highlight w:val="none"/>
          <w:u w:val="single"/>
        </w:rPr>
        <w:t>0.3%</w:t>
      </w:r>
      <w:r>
        <w:rPr>
          <w:sz w:val="24"/>
          <w:highlight w:val="none"/>
        </w:rPr>
        <w:t>向甲方支付违约金；逾期</w:t>
      </w:r>
      <w:r>
        <w:rPr>
          <w:sz w:val="24"/>
          <w:highlight w:val="none"/>
          <w:u w:val="single"/>
        </w:rPr>
        <w:t>30</w:t>
      </w:r>
      <w:r>
        <w:rPr>
          <w:sz w:val="24"/>
          <w:highlight w:val="none"/>
        </w:rPr>
        <w:t>天以上（含</w:t>
      </w:r>
      <w:r>
        <w:rPr>
          <w:sz w:val="24"/>
          <w:highlight w:val="none"/>
          <w:u w:val="single"/>
        </w:rPr>
        <w:t>30</w:t>
      </w:r>
      <w:r>
        <w:rPr>
          <w:sz w:val="24"/>
          <w:highlight w:val="none"/>
        </w:rPr>
        <w:t>天）的，甲方有权终止合同，乙方除应退回已收取的款项外，还应按本合同总额的</w:t>
      </w:r>
      <w:r>
        <w:rPr>
          <w:sz w:val="24"/>
          <w:highlight w:val="none"/>
          <w:u w:val="single"/>
        </w:rPr>
        <w:t>20%</w:t>
      </w:r>
      <w:r>
        <w:rPr>
          <w:sz w:val="24"/>
          <w:highlight w:val="none"/>
        </w:rPr>
        <w:t>支付违约金给甲方。</w:t>
      </w:r>
    </w:p>
    <w:p w14:paraId="36DB5EE7">
      <w:pPr>
        <w:pStyle w:val="34"/>
        <w:ind w:firstLine="480"/>
        <w:jc w:val="both"/>
        <w:rPr>
          <w:highlight w:val="none"/>
        </w:rPr>
      </w:pPr>
      <w:r>
        <w:rPr>
          <w:sz w:val="24"/>
          <w:highlight w:val="none"/>
        </w:rPr>
        <w:t>（</w:t>
      </w:r>
      <w:r>
        <w:rPr>
          <w:rFonts w:hint="eastAsia"/>
          <w:sz w:val="24"/>
          <w:highlight w:val="none"/>
          <w:lang w:val="en-US" w:eastAsia="zh-CN"/>
        </w:rPr>
        <w:t>3</w:t>
      </w:r>
      <w:r>
        <w:rPr>
          <w:sz w:val="24"/>
          <w:highlight w:val="none"/>
        </w:rPr>
        <w:t>）乙方违反本合同规定，所提供的服务未达到合同要求，甲方提出整改通知累计达</w:t>
      </w:r>
      <w:r>
        <w:rPr>
          <w:sz w:val="24"/>
          <w:highlight w:val="none"/>
          <w:u w:val="single"/>
        </w:rPr>
        <w:t>3</w:t>
      </w:r>
      <w:r>
        <w:rPr>
          <w:sz w:val="24"/>
          <w:highlight w:val="none"/>
        </w:rPr>
        <w:t>次，乙方未按要求及时整改的，甲方有权终止合同，乙方除应退回已收取的款项外，还应按本合同总额的</w:t>
      </w:r>
      <w:r>
        <w:rPr>
          <w:sz w:val="24"/>
          <w:highlight w:val="none"/>
          <w:u w:val="single"/>
        </w:rPr>
        <w:t>20%</w:t>
      </w:r>
      <w:r>
        <w:rPr>
          <w:sz w:val="24"/>
          <w:highlight w:val="none"/>
        </w:rPr>
        <w:t>支付违约金给甲方。</w:t>
      </w:r>
    </w:p>
    <w:p w14:paraId="6076B4E4">
      <w:pPr>
        <w:pStyle w:val="34"/>
        <w:ind w:firstLine="480"/>
        <w:jc w:val="both"/>
        <w:rPr>
          <w:highlight w:val="none"/>
        </w:rPr>
      </w:pPr>
      <w:r>
        <w:rPr>
          <w:sz w:val="24"/>
          <w:highlight w:val="none"/>
        </w:rPr>
        <w:t>（</w:t>
      </w:r>
      <w:r>
        <w:rPr>
          <w:rFonts w:hint="eastAsia"/>
          <w:sz w:val="24"/>
          <w:highlight w:val="none"/>
          <w:lang w:val="en-US" w:eastAsia="zh-CN"/>
        </w:rPr>
        <w:t>4</w:t>
      </w:r>
      <w:r>
        <w:rPr>
          <w:sz w:val="24"/>
          <w:highlight w:val="none"/>
        </w:rPr>
        <w:t>）如因乙方服务工作人员违反保密条款，给甲方单位或个人造成损失和影响的，甲方除按照有关规定追究乙方单位及个人经济上的赔偿责任外，有权提请司法部门追究有关人员及单位的法律责任。</w:t>
      </w:r>
    </w:p>
    <w:p w14:paraId="46BB594A">
      <w:pPr>
        <w:pStyle w:val="34"/>
        <w:ind w:firstLine="480"/>
        <w:jc w:val="both"/>
        <w:rPr>
          <w:highlight w:val="none"/>
        </w:rPr>
      </w:pPr>
      <w:r>
        <w:rPr>
          <w:sz w:val="24"/>
          <w:highlight w:val="none"/>
        </w:rPr>
        <w:t>（</w:t>
      </w:r>
      <w:r>
        <w:rPr>
          <w:rFonts w:hint="eastAsia"/>
          <w:sz w:val="24"/>
          <w:highlight w:val="none"/>
          <w:lang w:val="en-US" w:eastAsia="zh-CN"/>
        </w:rPr>
        <w:t>5</w:t>
      </w:r>
      <w:r>
        <w:rPr>
          <w:sz w:val="24"/>
          <w:highlight w:val="none"/>
        </w:rPr>
        <w:t>）其它违约责任按《中华人民共和国民法典》处理。</w:t>
      </w:r>
    </w:p>
    <w:p w14:paraId="17B5EEF5">
      <w:pPr>
        <w:pStyle w:val="34"/>
        <w:ind w:firstLine="420"/>
        <w:rPr>
          <w:rFonts w:eastAsia="宋体"/>
          <w:b/>
          <w:sz w:val="24"/>
          <w:highlight w:val="none"/>
        </w:rPr>
      </w:pPr>
      <w:r>
        <w:rPr>
          <w:rFonts w:eastAsia="宋体"/>
          <w:b/>
          <w:sz w:val="24"/>
          <w:highlight w:val="none"/>
        </w:rPr>
        <w:t>十</w:t>
      </w:r>
      <w:r>
        <w:rPr>
          <w:rFonts w:hint="eastAsia" w:eastAsia="宋体"/>
          <w:b/>
          <w:sz w:val="24"/>
          <w:highlight w:val="none"/>
          <w:lang w:val="en-US" w:eastAsia="zh-CN"/>
        </w:rPr>
        <w:t>三</w:t>
      </w:r>
      <w:r>
        <w:rPr>
          <w:rFonts w:eastAsia="宋体"/>
          <w:b/>
          <w:sz w:val="24"/>
          <w:highlight w:val="none"/>
        </w:rPr>
        <w:t>、争议的解决</w:t>
      </w:r>
    </w:p>
    <w:p w14:paraId="2978C7FF">
      <w:pPr>
        <w:pStyle w:val="34"/>
        <w:ind w:firstLine="480"/>
        <w:jc w:val="both"/>
        <w:rPr>
          <w:highlight w:val="none"/>
        </w:rPr>
      </w:pPr>
      <w:r>
        <w:rPr>
          <w:sz w:val="24"/>
          <w:highlight w:val="none"/>
        </w:rPr>
        <w:t>本合同的争议适用中华人民共和国法律。由于本合同的履行或而产生的与之有关的任何争议，如双方无法协商解决的，直接向中山市第一人民法院提出诉讼。诉讼进行过程中，各方将继续履行未涉诉讼的其它部分。</w:t>
      </w:r>
    </w:p>
    <w:p w14:paraId="4999BACC">
      <w:pPr>
        <w:pStyle w:val="34"/>
        <w:ind w:firstLine="420"/>
        <w:rPr>
          <w:rFonts w:eastAsia="宋体"/>
          <w:b/>
          <w:sz w:val="24"/>
          <w:highlight w:val="none"/>
        </w:rPr>
      </w:pPr>
      <w:r>
        <w:rPr>
          <w:rFonts w:eastAsia="宋体"/>
          <w:b/>
          <w:sz w:val="24"/>
          <w:highlight w:val="none"/>
        </w:rPr>
        <w:t>十</w:t>
      </w:r>
      <w:r>
        <w:rPr>
          <w:rFonts w:hint="eastAsia" w:eastAsia="宋体"/>
          <w:b/>
          <w:sz w:val="24"/>
          <w:highlight w:val="none"/>
          <w:lang w:val="en-US" w:eastAsia="zh-CN"/>
        </w:rPr>
        <w:t>四</w:t>
      </w:r>
      <w:r>
        <w:rPr>
          <w:rFonts w:eastAsia="宋体"/>
          <w:b/>
          <w:sz w:val="24"/>
          <w:highlight w:val="none"/>
        </w:rPr>
        <w:t>、不可抗力</w:t>
      </w:r>
    </w:p>
    <w:p w14:paraId="1C757340">
      <w:pPr>
        <w:pStyle w:val="34"/>
        <w:ind w:firstLine="480"/>
        <w:jc w:val="both"/>
        <w:rPr>
          <w:highlight w:val="none"/>
        </w:rPr>
      </w:pPr>
      <w:r>
        <w:rPr>
          <w:sz w:val="24"/>
          <w:highlight w:val="none"/>
        </w:rPr>
        <w:t>任何一方由于不可抗力原因不能履行合同时，应在不可抗力事件发生之日起向对方通报，以减轻可能给对方造成的损失，在取得有关机构的不可抗力证明和另一方谅解确认后，允许延期履行或修订合同，并根据情况可部分或全部免于承担违约责任。</w:t>
      </w:r>
    </w:p>
    <w:p w14:paraId="35DF0E83">
      <w:pPr>
        <w:pStyle w:val="34"/>
        <w:ind w:firstLine="420"/>
        <w:jc w:val="both"/>
        <w:rPr>
          <w:highlight w:val="none"/>
        </w:rPr>
      </w:pPr>
      <w:r>
        <w:rPr>
          <w:b/>
          <w:sz w:val="24"/>
          <w:highlight w:val="none"/>
        </w:rPr>
        <w:t>十</w:t>
      </w:r>
      <w:r>
        <w:rPr>
          <w:rFonts w:hint="eastAsia"/>
          <w:b/>
          <w:sz w:val="24"/>
          <w:highlight w:val="none"/>
          <w:lang w:val="en-US" w:eastAsia="zh-CN"/>
        </w:rPr>
        <w:t>五</w:t>
      </w:r>
      <w:r>
        <w:rPr>
          <w:b/>
          <w:sz w:val="24"/>
          <w:highlight w:val="none"/>
        </w:rPr>
        <w:t>、其它</w:t>
      </w:r>
    </w:p>
    <w:p w14:paraId="082A86C5">
      <w:pPr>
        <w:pStyle w:val="34"/>
        <w:ind w:firstLine="480"/>
        <w:jc w:val="both"/>
        <w:rPr>
          <w:highlight w:val="none"/>
        </w:rPr>
      </w:pPr>
      <w:r>
        <w:rPr>
          <w:sz w:val="24"/>
          <w:highlight w:val="none"/>
        </w:rPr>
        <w:t>1.本合同之所有附件均为合同的有效组成部分，与本合同具有同等法律效力。</w:t>
      </w:r>
    </w:p>
    <w:p w14:paraId="0DE45857">
      <w:pPr>
        <w:pStyle w:val="34"/>
        <w:ind w:firstLine="480"/>
        <w:jc w:val="both"/>
        <w:rPr>
          <w:highlight w:val="none"/>
        </w:rPr>
      </w:pPr>
      <w:r>
        <w:rPr>
          <w:sz w:val="24"/>
          <w:highlight w:val="none"/>
        </w:rPr>
        <w:t>2.在执行本合同的过程中，所有经双方共同签署的补充与修正文件即成为本合同的有效组成部分，与本合同具有同等法律效力，如有冲突应以最后签订的文件为准。</w:t>
      </w:r>
    </w:p>
    <w:p w14:paraId="3BA19E7E">
      <w:pPr>
        <w:pStyle w:val="34"/>
        <w:ind w:firstLine="480"/>
        <w:jc w:val="both"/>
        <w:rPr>
          <w:highlight w:val="none"/>
        </w:rPr>
      </w:pPr>
      <w:r>
        <w:rPr>
          <w:sz w:val="24"/>
          <w:highlight w:val="none"/>
        </w:rPr>
        <w:t>3.如一方地址、电话、银行账号等重要事项有变更，应在变更当日内书面通知对方，否则应承担相应责任。</w:t>
      </w:r>
    </w:p>
    <w:p w14:paraId="4E4DFA0D">
      <w:pPr>
        <w:pStyle w:val="34"/>
        <w:ind w:firstLine="480"/>
        <w:jc w:val="both"/>
        <w:rPr>
          <w:highlight w:val="none"/>
        </w:rPr>
      </w:pPr>
      <w:r>
        <w:rPr>
          <w:sz w:val="24"/>
          <w:highlight w:val="none"/>
        </w:rPr>
        <w:t>4.除甲方事先书面同意外，乙方不得部分或全部转让其应履行的合同项下的义务。</w:t>
      </w:r>
    </w:p>
    <w:p w14:paraId="6FAEB7A3">
      <w:pPr>
        <w:pStyle w:val="34"/>
        <w:ind w:firstLine="480"/>
        <w:jc w:val="both"/>
        <w:rPr>
          <w:highlight w:val="none"/>
        </w:rPr>
      </w:pPr>
      <w:r>
        <w:rPr>
          <w:sz w:val="24"/>
          <w:highlight w:val="none"/>
        </w:rPr>
        <w:t>5.乙方必须确保所提供的所有软件和硬件不存在知识产权纠纷，否则由此造成的一切责任由乙方承担。</w:t>
      </w:r>
    </w:p>
    <w:p w14:paraId="19600606">
      <w:pPr>
        <w:pStyle w:val="34"/>
        <w:ind w:firstLine="480" w:firstLineChars="200"/>
        <w:jc w:val="both"/>
        <w:rPr>
          <w:highlight w:val="none"/>
        </w:rPr>
      </w:pPr>
      <w:r>
        <w:rPr>
          <w:b/>
          <w:sz w:val="24"/>
          <w:highlight w:val="none"/>
        </w:rPr>
        <w:t>十</w:t>
      </w:r>
      <w:r>
        <w:rPr>
          <w:rFonts w:hint="eastAsia"/>
          <w:b/>
          <w:sz w:val="24"/>
          <w:highlight w:val="none"/>
          <w:lang w:val="en-US" w:eastAsia="zh-CN"/>
        </w:rPr>
        <w:t>六</w:t>
      </w:r>
      <w:r>
        <w:rPr>
          <w:b/>
          <w:sz w:val="24"/>
          <w:highlight w:val="none"/>
        </w:rPr>
        <w:t>、合同生效</w:t>
      </w:r>
    </w:p>
    <w:p w14:paraId="79C730E2">
      <w:pPr>
        <w:pStyle w:val="34"/>
        <w:ind w:firstLine="480"/>
        <w:jc w:val="both"/>
        <w:rPr>
          <w:highlight w:val="none"/>
        </w:rPr>
      </w:pPr>
      <w:r>
        <w:rPr>
          <w:sz w:val="24"/>
          <w:highlight w:val="none"/>
        </w:rPr>
        <w:t>1.本合同在甲乙双方法人代表或其授权代表签字盖章后生效。</w:t>
      </w:r>
    </w:p>
    <w:p w14:paraId="2AF57BD8">
      <w:pPr>
        <w:pStyle w:val="34"/>
        <w:ind w:firstLine="480"/>
        <w:jc w:val="both"/>
        <w:rPr>
          <w:highlight w:val="none"/>
        </w:rPr>
      </w:pPr>
      <w:r>
        <w:rPr>
          <w:sz w:val="24"/>
          <w:highlight w:val="none"/>
        </w:rPr>
        <w:t>2.本合同正本一式</w:t>
      </w:r>
      <w:r>
        <w:rPr>
          <w:rFonts w:hint="eastAsia"/>
          <w:sz w:val="24"/>
          <w:highlight w:val="none"/>
          <w:lang w:val="en-US" w:eastAsia="zh-CN"/>
        </w:rPr>
        <w:t>四</w:t>
      </w:r>
      <w:r>
        <w:rPr>
          <w:sz w:val="24"/>
          <w:highlight w:val="none"/>
        </w:rPr>
        <w:t>份，甲乙双方各执贰份。</w:t>
      </w:r>
    </w:p>
    <w:p w14:paraId="17AB53BE">
      <w:pPr>
        <w:spacing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（以下为签字页，无正文）</w:t>
      </w:r>
    </w:p>
    <w:p w14:paraId="4FCAD5E2">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甲方：中山市中医院                    乙方：</w:t>
      </w:r>
    </w:p>
    <w:p w14:paraId="005FC135">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签约代表：                            签约代表：</w:t>
      </w:r>
    </w:p>
    <w:p w14:paraId="0E61B54C">
      <w:pPr>
        <w:spacing w:line="360" w:lineRule="auto"/>
        <w:ind w:left="6160" w:hanging="5280" w:hangingChars="2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地址：中山市西区康欣路3号            地址： </w:t>
      </w:r>
    </w:p>
    <w:p w14:paraId="0BD87749">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电话：</w:t>
      </w:r>
      <w:bookmarkStart w:id="1" w:name="OLE_LINK28"/>
      <w:r>
        <w:rPr>
          <w:rFonts w:hint="eastAsia" w:ascii="宋体" w:hAnsi="宋体" w:eastAsia="宋体" w:cs="宋体"/>
          <w:b/>
          <w:bCs/>
          <w:sz w:val="24"/>
          <w:szCs w:val="24"/>
          <w:highlight w:val="none"/>
        </w:rPr>
        <w:t>0760-89980328</w:t>
      </w:r>
      <w:bookmarkEnd w:id="1"/>
      <w:r>
        <w:rPr>
          <w:rFonts w:hint="eastAsia" w:ascii="宋体" w:hAnsi="宋体" w:eastAsia="宋体" w:cs="宋体"/>
          <w:b/>
          <w:bCs/>
          <w:sz w:val="24"/>
          <w:szCs w:val="24"/>
          <w:highlight w:val="none"/>
        </w:rPr>
        <w:t xml:space="preserve">                   电话：  </w:t>
      </w:r>
    </w:p>
    <w:p w14:paraId="2434A13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传真：0760-89980318                   传真： </w:t>
      </w:r>
    </w:p>
    <w:p w14:paraId="67BCD127">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签约日期：     年   月   日</w:t>
      </w:r>
    </w:p>
    <w:p w14:paraId="5D6E5553">
      <w:pPr>
        <w:pStyle w:val="3"/>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3"/>
        <w:numPr>
          <w:ilvl w:val="0"/>
          <w:numId w:val="2"/>
        </w:numPr>
        <w:ind w:firstLineChars="0"/>
        <w:outlineLvl w:val="1"/>
        <w:rPr>
          <w:rFonts w:hint="eastAsia"/>
          <w:b/>
          <w:bCs/>
          <w:highlight w:val="none"/>
        </w:rPr>
      </w:pPr>
      <w:bookmarkStart w:id="2" w:name="_Toc131270561"/>
      <w:r>
        <w:rPr>
          <w:rFonts w:hint="eastAsia"/>
          <w:b/>
          <w:bCs/>
          <w:highlight w:val="none"/>
        </w:rPr>
        <w:t>法定代表人证明书</w:t>
      </w:r>
      <w:bookmarkEnd w:id="2"/>
    </w:p>
    <w:p w14:paraId="5FE5905B">
      <w:pPr>
        <w:pStyle w:val="33"/>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3"/>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8"/>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8"/>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8"/>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8"/>
        <w:tabs>
          <w:tab w:val="left" w:pos="1020"/>
          <w:tab w:val="left" w:pos="3223"/>
          <w:tab w:val="left" w:pos="3947"/>
          <w:tab w:val="left" w:pos="7064"/>
        </w:tabs>
        <w:spacing w:line="480" w:lineRule="auto"/>
        <w:ind w:right="-35"/>
        <w:rPr>
          <w:rFonts w:hint="eastAsia"/>
          <w:sz w:val="24"/>
          <w:highlight w:val="none"/>
        </w:rPr>
      </w:pPr>
    </w:p>
    <w:p w14:paraId="5B75492E">
      <w:pPr>
        <w:pStyle w:val="8"/>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8"/>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8"/>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8"/>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8"/>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3"/>
        <w:ind w:firstLine="0" w:firstLineChars="0"/>
        <w:rPr>
          <w:rFonts w:hint="eastAsia"/>
          <w:sz w:val="21"/>
          <w:szCs w:val="21"/>
          <w:highlight w:val="none"/>
        </w:rPr>
      </w:pPr>
    </w:p>
    <w:p w14:paraId="352940D0">
      <w:pPr>
        <w:rPr>
          <w:rFonts w:hint="eastAsia"/>
          <w:b/>
          <w:sz w:val="24"/>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3"/>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3"/>
        <w:numPr>
          <w:ilvl w:val="0"/>
          <w:numId w:val="2"/>
        </w:numPr>
        <w:ind w:firstLineChars="0"/>
        <w:outlineLvl w:val="1"/>
        <w:rPr>
          <w:rFonts w:hint="eastAsia"/>
          <w:b/>
          <w:bCs/>
          <w:highlight w:val="none"/>
        </w:rPr>
      </w:pPr>
      <w:bookmarkStart w:id="3" w:name="_Toc131270562"/>
      <w:r>
        <w:rPr>
          <w:rFonts w:hint="eastAsia"/>
          <w:b/>
          <w:bCs/>
          <w:highlight w:val="none"/>
        </w:rPr>
        <w:t>法定代表人授权书</w:t>
      </w:r>
      <w:bookmarkEnd w:id="3"/>
    </w:p>
    <w:p w14:paraId="0AC85283">
      <w:pPr>
        <w:pStyle w:val="33"/>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3"/>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8"/>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8"/>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8"/>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3"/>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18"/>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3"/>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3"/>
        <w:tabs>
          <w:tab w:val="decimal" w:pos="315"/>
          <w:tab w:val="left" w:pos="630"/>
        </w:tabs>
        <w:ind w:firstLine="422"/>
        <w:rPr>
          <w:rFonts w:hint="eastAsia"/>
          <w:b/>
          <w:bCs/>
          <w:sz w:val="21"/>
          <w:szCs w:val="21"/>
          <w:highlight w:val="none"/>
        </w:rPr>
      </w:pPr>
    </w:p>
    <w:p w14:paraId="27D55E85">
      <w:pPr>
        <w:pStyle w:val="33"/>
        <w:tabs>
          <w:tab w:val="decimal" w:pos="315"/>
          <w:tab w:val="left" w:pos="630"/>
        </w:tabs>
        <w:ind w:firstLine="422"/>
        <w:rPr>
          <w:rFonts w:hint="eastAsia"/>
          <w:b/>
          <w:bCs/>
          <w:sz w:val="21"/>
          <w:szCs w:val="21"/>
          <w:highlight w:val="none"/>
        </w:rPr>
      </w:pPr>
    </w:p>
    <w:p w14:paraId="2EE67AD3">
      <w:pPr>
        <w:pStyle w:val="33"/>
        <w:tabs>
          <w:tab w:val="decimal" w:pos="315"/>
          <w:tab w:val="left" w:pos="630"/>
        </w:tabs>
        <w:ind w:firstLine="422"/>
        <w:rPr>
          <w:rFonts w:hint="eastAsia"/>
          <w:b/>
          <w:bCs/>
          <w:sz w:val="21"/>
          <w:szCs w:val="21"/>
          <w:highlight w:val="none"/>
        </w:rPr>
      </w:pPr>
    </w:p>
    <w:p w14:paraId="1F804BB2">
      <w:pPr>
        <w:pStyle w:val="33"/>
        <w:numPr>
          <w:ilvl w:val="0"/>
          <w:numId w:val="2"/>
        </w:numPr>
        <w:ind w:firstLineChars="0"/>
        <w:outlineLvl w:val="1"/>
        <w:rPr>
          <w:rFonts w:hint="eastAsia"/>
          <w:b/>
          <w:bCs/>
          <w:highlight w:val="none"/>
        </w:rPr>
      </w:pPr>
      <w:bookmarkStart w:id="4" w:name="_Toc131270559"/>
      <w:r>
        <w:rPr>
          <w:rFonts w:hint="eastAsia"/>
          <w:b/>
          <w:bCs/>
          <w:highlight w:val="none"/>
        </w:rPr>
        <w:t>报价表</w:t>
      </w:r>
      <w:bookmarkEnd w:id="4"/>
    </w:p>
    <w:p w14:paraId="31603702">
      <w:pPr>
        <w:pStyle w:val="33"/>
        <w:ind w:firstLine="0" w:firstLineChars="0"/>
        <w:jc w:val="center"/>
        <w:rPr>
          <w:rFonts w:hint="eastAsia"/>
          <w:b/>
          <w:bCs/>
          <w:sz w:val="28"/>
          <w:szCs w:val="28"/>
          <w:highlight w:val="none"/>
        </w:rPr>
      </w:pPr>
      <w:r>
        <w:rPr>
          <w:rFonts w:hint="eastAsia"/>
          <w:b/>
          <w:bCs/>
          <w:sz w:val="28"/>
          <w:szCs w:val="28"/>
          <w:highlight w:val="none"/>
        </w:rPr>
        <w:t>报价表</w:t>
      </w:r>
    </w:p>
    <w:p w14:paraId="0F8CEAF7">
      <w:pPr>
        <w:pStyle w:val="33"/>
        <w:ind w:firstLine="420"/>
        <w:rPr>
          <w:rFonts w:hint="eastAsia"/>
          <w:sz w:val="21"/>
          <w:szCs w:val="21"/>
          <w:highlight w:val="none"/>
        </w:rPr>
      </w:pPr>
    </w:p>
    <w:p w14:paraId="5662DBB9">
      <w:pPr>
        <w:pStyle w:val="33"/>
        <w:ind w:firstLine="420"/>
        <w:rPr>
          <w:rFonts w:hint="eastAsia"/>
          <w:sz w:val="21"/>
          <w:szCs w:val="21"/>
          <w:highlight w:val="none"/>
        </w:rPr>
      </w:pPr>
      <w:r>
        <w:rPr>
          <w:rFonts w:hint="eastAsia"/>
          <w:sz w:val="21"/>
          <w:szCs w:val="21"/>
          <w:highlight w:val="none"/>
        </w:rPr>
        <w:t>项目编号：</w:t>
      </w:r>
      <w:r>
        <w:rPr>
          <w:sz w:val="21"/>
          <w:szCs w:val="21"/>
          <w:highlight w:val="none"/>
        </w:rPr>
        <w:t xml:space="preserve"> </w:t>
      </w:r>
    </w:p>
    <w:p w14:paraId="29BD91B0">
      <w:pPr>
        <w:pStyle w:val="33"/>
        <w:ind w:firstLine="420"/>
        <w:rPr>
          <w:rFonts w:hint="eastAsia"/>
          <w:sz w:val="21"/>
          <w:szCs w:val="21"/>
          <w:highlight w:val="none"/>
        </w:rPr>
      </w:pPr>
      <w:r>
        <w:rPr>
          <w:rFonts w:hint="eastAsia"/>
          <w:sz w:val="21"/>
          <w:szCs w:val="21"/>
          <w:highlight w:val="none"/>
        </w:rPr>
        <w:t>项目名称：</w:t>
      </w:r>
    </w:p>
    <w:tbl>
      <w:tblPr>
        <w:tblStyle w:val="18"/>
        <w:tblW w:w="43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5"/>
        <w:gridCol w:w="3143"/>
        <w:gridCol w:w="1963"/>
        <w:gridCol w:w="1879"/>
      </w:tblGrid>
      <w:tr w14:paraId="59E02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pct"/>
            <w:noWrap w:val="0"/>
            <w:vAlign w:val="center"/>
          </w:tcPr>
          <w:p w14:paraId="1AF700DB">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序号</w:t>
            </w:r>
          </w:p>
        </w:tc>
        <w:tc>
          <w:tcPr>
            <w:tcW w:w="1907" w:type="pct"/>
            <w:noWrap w:val="0"/>
            <w:vAlign w:val="center"/>
          </w:tcPr>
          <w:p w14:paraId="2DEC8A36">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服务项目名称</w:t>
            </w:r>
          </w:p>
        </w:tc>
        <w:tc>
          <w:tcPr>
            <w:tcW w:w="1191" w:type="pct"/>
            <w:noWrap w:val="0"/>
            <w:vAlign w:val="center"/>
          </w:tcPr>
          <w:p w14:paraId="4939B3CC">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数量</w:t>
            </w:r>
          </w:p>
        </w:tc>
        <w:tc>
          <w:tcPr>
            <w:tcW w:w="1138" w:type="pct"/>
            <w:noWrap w:val="0"/>
            <w:vAlign w:val="center"/>
          </w:tcPr>
          <w:p w14:paraId="7699BC5B">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报价</w:t>
            </w:r>
          </w:p>
        </w:tc>
      </w:tr>
      <w:tr w14:paraId="6FAAE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5" w:hRule="atLeast"/>
        </w:trPr>
        <w:tc>
          <w:tcPr>
            <w:tcW w:w="762" w:type="pct"/>
            <w:noWrap w:val="0"/>
            <w:vAlign w:val="center"/>
          </w:tcPr>
          <w:p w14:paraId="51C410D7">
            <w:pPr>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p>
        </w:tc>
        <w:tc>
          <w:tcPr>
            <w:tcW w:w="1907" w:type="pct"/>
            <w:noWrap w:val="0"/>
            <w:vAlign w:val="center"/>
          </w:tcPr>
          <w:p w14:paraId="5C837CF8">
            <w:pPr>
              <w:jc w:val="center"/>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eastAsia="zh-CN"/>
              </w:rPr>
              <w:t>信息机房环境改造服务项目</w:t>
            </w:r>
          </w:p>
        </w:tc>
        <w:tc>
          <w:tcPr>
            <w:tcW w:w="1191" w:type="pct"/>
            <w:noWrap w:val="0"/>
            <w:vAlign w:val="center"/>
          </w:tcPr>
          <w:p w14:paraId="5CBE43CB">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1项</w:t>
            </w:r>
          </w:p>
        </w:tc>
        <w:tc>
          <w:tcPr>
            <w:tcW w:w="1138" w:type="pct"/>
            <w:noWrap w:val="0"/>
            <w:vAlign w:val="center"/>
          </w:tcPr>
          <w:p w14:paraId="79E01960">
            <w:pPr>
              <w:jc w:val="center"/>
              <w:rPr>
                <w:rFonts w:hint="eastAsia" w:ascii="宋体" w:hAnsi="宋体" w:eastAsia="宋体" w:cs="Times New Roman"/>
                <w:sz w:val="24"/>
                <w:szCs w:val="24"/>
                <w:highlight w:val="none"/>
                <w:lang w:eastAsia="zh-CN"/>
              </w:rPr>
            </w:pPr>
          </w:p>
        </w:tc>
      </w:tr>
      <w:tr w14:paraId="218BC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5" w:hRule="atLeast"/>
        </w:trPr>
        <w:tc>
          <w:tcPr>
            <w:tcW w:w="762" w:type="pct"/>
            <w:noWrap w:val="0"/>
            <w:vAlign w:val="center"/>
          </w:tcPr>
          <w:p w14:paraId="488FBF3D">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w:t>
            </w:r>
          </w:p>
        </w:tc>
        <w:tc>
          <w:tcPr>
            <w:tcW w:w="1907" w:type="pct"/>
            <w:noWrap w:val="0"/>
            <w:vAlign w:val="center"/>
          </w:tcPr>
          <w:p w14:paraId="761721B6">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w:t>
            </w:r>
          </w:p>
        </w:tc>
        <w:tc>
          <w:tcPr>
            <w:tcW w:w="1191" w:type="pct"/>
            <w:noWrap w:val="0"/>
            <w:vAlign w:val="center"/>
          </w:tcPr>
          <w:p w14:paraId="2DF04E1D">
            <w:pPr>
              <w:jc w:val="center"/>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w:t>
            </w:r>
          </w:p>
        </w:tc>
        <w:tc>
          <w:tcPr>
            <w:tcW w:w="1138" w:type="pct"/>
            <w:noWrap w:val="0"/>
            <w:vAlign w:val="center"/>
          </w:tcPr>
          <w:p w14:paraId="3B0954B4">
            <w:pPr>
              <w:jc w:val="center"/>
              <w:rPr>
                <w:rFonts w:hint="eastAsia" w:ascii="宋体" w:hAnsi="宋体" w:eastAsia="宋体" w:cs="Times New Roman"/>
                <w:sz w:val="24"/>
                <w:szCs w:val="24"/>
                <w:highlight w:val="none"/>
                <w:lang w:eastAsia="zh-CN"/>
              </w:rPr>
            </w:pPr>
          </w:p>
        </w:tc>
      </w:tr>
      <w:tr w14:paraId="5446C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noWrap w:val="0"/>
            <w:vAlign w:val="center"/>
          </w:tcPr>
          <w:p w14:paraId="70765A12">
            <w:pPr>
              <w:snapToGrid w:val="0"/>
              <w:rPr>
                <w:rFonts w:hint="eastAsia"/>
                <w:b/>
                <w:bCs/>
                <w:highlight w:val="none"/>
              </w:rPr>
            </w:pPr>
            <w:r>
              <w:rPr>
                <w:rFonts w:hint="eastAsia"/>
                <w:b/>
                <w:bCs/>
                <w:highlight w:val="none"/>
              </w:rPr>
              <w:t>金额合计</w:t>
            </w:r>
          </w:p>
          <w:p w14:paraId="1061D206">
            <w:pPr>
              <w:snapToGrid w:val="0"/>
              <w:rPr>
                <w:rFonts w:hint="eastAsia"/>
                <w:bCs/>
                <w:szCs w:val="21"/>
                <w:highlight w:val="none"/>
                <w:u w:val="single"/>
              </w:rPr>
            </w:pPr>
            <w:r>
              <w:rPr>
                <w:rFonts w:hint="eastAsia"/>
                <w:bCs/>
                <w:szCs w:val="21"/>
                <w:highlight w:val="none"/>
              </w:rPr>
              <w:t>小写：</w:t>
            </w:r>
          </w:p>
          <w:p w14:paraId="478CCCE8">
            <w:pPr>
              <w:jc w:val="both"/>
              <w:rPr>
                <w:color w:val="auto"/>
                <w:highlight w:val="none"/>
              </w:rPr>
            </w:pPr>
            <w:r>
              <w:rPr>
                <w:rFonts w:hint="eastAsia"/>
                <w:bCs/>
                <w:szCs w:val="21"/>
                <w:highlight w:val="none"/>
              </w:rPr>
              <w:t>大写：</w:t>
            </w:r>
          </w:p>
        </w:tc>
      </w:tr>
    </w:tbl>
    <w:p w14:paraId="17F03808">
      <w:pPr>
        <w:pStyle w:val="33"/>
        <w:ind w:firstLine="420"/>
        <w:rPr>
          <w:rFonts w:hint="eastAsia"/>
          <w:sz w:val="21"/>
          <w:szCs w:val="21"/>
          <w:highlight w:val="none"/>
          <w:lang w:eastAsia="zh-CN"/>
        </w:rPr>
      </w:pPr>
    </w:p>
    <w:p w14:paraId="3486D5CA">
      <w:pPr>
        <w:pStyle w:val="33"/>
        <w:ind w:firstLine="0" w:firstLineChars="0"/>
        <w:jc w:val="right"/>
        <w:rPr>
          <w:rFonts w:hint="eastAsia"/>
          <w:highlight w:val="none"/>
        </w:rPr>
      </w:pPr>
      <w:r>
        <w:rPr>
          <w:rFonts w:hint="eastAsia"/>
          <w:highlight w:val="none"/>
        </w:rPr>
        <w:t>货币及单位：人民币</w:t>
      </w:r>
      <w:r>
        <w:rPr>
          <w:highlight w:val="none"/>
        </w:rPr>
        <w:t>/元</w:t>
      </w:r>
    </w:p>
    <w:p w14:paraId="23C47A1D">
      <w:pPr>
        <w:pStyle w:val="33"/>
        <w:spacing w:line="480" w:lineRule="auto"/>
        <w:ind w:right="100" w:rightChars="48" w:firstLine="0" w:firstLineChars="0"/>
        <w:jc w:val="right"/>
        <w:rPr>
          <w:rFonts w:hint="eastAsia"/>
          <w:highlight w:val="none"/>
        </w:rPr>
      </w:pPr>
      <w:r>
        <w:rPr>
          <w:rFonts w:hint="eastAsia"/>
          <w:highlight w:val="none"/>
        </w:rPr>
        <w:t>响应人法定代表人（或其授权代表）签字或盖章：</w:t>
      </w:r>
      <w:r>
        <w:rPr>
          <w:highlight w:val="none"/>
          <w:u w:val="single"/>
        </w:rPr>
        <w:t xml:space="preserve">                    .</w:t>
      </w:r>
    </w:p>
    <w:p w14:paraId="08295C25">
      <w:pPr>
        <w:pStyle w:val="33"/>
        <w:spacing w:line="480" w:lineRule="auto"/>
        <w:ind w:right="100" w:rightChars="48" w:firstLine="0" w:firstLineChars="0"/>
        <w:jc w:val="right"/>
        <w:rPr>
          <w:rFonts w:hint="eastAsia"/>
          <w:highlight w:val="none"/>
        </w:rPr>
      </w:pPr>
      <w:r>
        <w:rPr>
          <w:rFonts w:hint="eastAsia"/>
          <w:highlight w:val="none"/>
        </w:rPr>
        <w:t>响应人名称（盖章）：</w:t>
      </w:r>
      <w:r>
        <w:rPr>
          <w:highlight w:val="none"/>
          <w:u w:val="single"/>
        </w:rPr>
        <w:t xml:space="preserve">                    .</w:t>
      </w:r>
    </w:p>
    <w:p w14:paraId="004D064D">
      <w:pPr>
        <w:pStyle w:val="33"/>
        <w:spacing w:line="480" w:lineRule="auto"/>
        <w:ind w:right="100" w:rightChars="48" w:firstLine="4960" w:firstLineChars="2067"/>
        <w:jc w:val="right"/>
        <w:rPr>
          <w:highlight w:val="none"/>
        </w:rPr>
      </w:pPr>
      <w:r>
        <w:rPr>
          <w:rFonts w:hint="eastAsia"/>
          <w:highlight w:val="none"/>
        </w:rPr>
        <w:t>日期：</w:t>
      </w: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p w14:paraId="48C914EF">
      <w:pPr>
        <w:pStyle w:val="33"/>
        <w:spacing w:line="480" w:lineRule="auto"/>
        <w:ind w:right="100" w:rightChars="48" w:firstLine="4960" w:firstLineChars="2067"/>
        <w:jc w:val="right"/>
        <w:rPr>
          <w:highlight w:val="none"/>
        </w:rPr>
      </w:pPr>
    </w:p>
    <w:p w14:paraId="6EC5ED71">
      <w:pPr>
        <w:pStyle w:val="33"/>
        <w:spacing w:line="480" w:lineRule="auto"/>
        <w:ind w:right="100" w:rightChars="48" w:firstLine="4960" w:firstLineChars="2067"/>
        <w:jc w:val="right"/>
        <w:rPr>
          <w:highlight w:val="none"/>
        </w:rPr>
      </w:pPr>
    </w:p>
    <w:p w14:paraId="68CF41AC">
      <w:pPr>
        <w:pStyle w:val="33"/>
        <w:spacing w:line="480" w:lineRule="auto"/>
        <w:ind w:right="100" w:rightChars="48" w:firstLine="4960" w:firstLineChars="2067"/>
        <w:jc w:val="right"/>
        <w:rPr>
          <w:highlight w:val="none"/>
        </w:rPr>
      </w:pPr>
    </w:p>
    <w:p w14:paraId="334A635E">
      <w:pPr>
        <w:pStyle w:val="33"/>
        <w:spacing w:line="480" w:lineRule="auto"/>
        <w:ind w:right="100" w:rightChars="48" w:firstLine="4960" w:firstLineChars="2067"/>
        <w:jc w:val="right"/>
        <w:rPr>
          <w:highlight w:val="none"/>
        </w:rPr>
      </w:pPr>
    </w:p>
    <w:p w14:paraId="00E22723">
      <w:pPr>
        <w:pStyle w:val="33"/>
        <w:spacing w:line="480" w:lineRule="auto"/>
        <w:ind w:right="100" w:rightChars="48" w:firstLine="4960" w:firstLineChars="2067"/>
        <w:jc w:val="right"/>
        <w:rPr>
          <w:highlight w:val="none"/>
        </w:rPr>
      </w:pPr>
    </w:p>
    <w:p w14:paraId="7EFAA7E0">
      <w:pPr>
        <w:pStyle w:val="33"/>
        <w:spacing w:line="480" w:lineRule="auto"/>
        <w:ind w:right="100" w:rightChars="48" w:firstLine="4960" w:firstLineChars="2067"/>
        <w:jc w:val="right"/>
        <w:rPr>
          <w:highlight w:val="none"/>
        </w:rPr>
      </w:pPr>
    </w:p>
    <w:p w14:paraId="6FE7212A">
      <w:pPr>
        <w:pStyle w:val="33"/>
        <w:spacing w:line="480" w:lineRule="auto"/>
        <w:ind w:right="100" w:rightChars="48" w:firstLine="4960" w:firstLineChars="2067"/>
        <w:jc w:val="right"/>
        <w:rPr>
          <w:highlight w:val="none"/>
        </w:rPr>
      </w:pPr>
    </w:p>
    <w:p w14:paraId="6D394D89">
      <w:pPr>
        <w:pStyle w:val="33"/>
        <w:numPr>
          <w:ilvl w:val="0"/>
          <w:numId w:val="2"/>
        </w:numPr>
        <w:tabs>
          <w:tab w:val="decimal" w:pos="315"/>
          <w:tab w:val="left" w:pos="630"/>
        </w:tabs>
        <w:ind w:firstLineChars="0"/>
        <w:rPr>
          <w:rFonts w:hint="eastAsia"/>
          <w:b/>
          <w:bCs/>
          <w:highlight w:val="none"/>
        </w:rPr>
      </w:pPr>
    </w:p>
    <w:p w14:paraId="2B953A28">
      <w:pPr>
        <w:pStyle w:val="34"/>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采购供应商资格信用承诺函</w:t>
      </w:r>
    </w:p>
    <w:p w14:paraId="771DF17B">
      <w:pPr>
        <w:pStyle w:val="34"/>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4"/>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4"/>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4"/>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3"/>
        <w:tabs>
          <w:tab w:val="decimal" w:pos="315"/>
          <w:tab w:val="left" w:pos="630"/>
        </w:tabs>
        <w:ind w:left="210" w:firstLine="0" w:firstLineChars="0"/>
        <w:rPr>
          <w:rFonts w:hint="eastAsia"/>
          <w:b/>
          <w:bCs/>
          <w:highlight w:val="none"/>
        </w:rPr>
      </w:pPr>
    </w:p>
    <w:p w14:paraId="448381D9">
      <w:pPr>
        <w:pStyle w:val="33"/>
        <w:tabs>
          <w:tab w:val="decimal" w:pos="315"/>
          <w:tab w:val="left" w:pos="630"/>
        </w:tabs>
        <w:ind w:left="210" w:firstLine="0" w:firstLineChars="0"/>
        <w:rPr>
          <w:rFonts w:hint="eastAsia"/>
          <w:b/>
          <w:bCs/>
          <w:highlight w:val="none"/>
        </w:rPr>
      </w:pPr>
    </w:p>
    <w:p w14:paraId="3F5201DC">
      <w:pPr>
        <w:pStyle w:val="33"/>
        <w:tabs>
          <w:tab w:val="decimal" w:pos="315"/>
          <w:tab w:val="left" w:pos="630"/>
        </w:tabs>
        <w:ind w:left="210" w:firstLine="0" w:firstLineChars="0"/>
        <w:rPr>
          <w:rFonts w:hint="eastAsia"/>
          <w:b/>
          <w:bCs/>
          <w:highlight w:val="none"/>
        </w:rPr>
      </w:pPr>
    </w:p>
    <w:p w14:paraId="291771C4">
      <w:pPr>
        <w:pStyle w:val="33"/>
        <w:tabs>
          <w:tab w:val="decimal" w:pos="315"/>
          <w:tab w:val="left" w:pos="630"/>
        </w:tabs>
        <w:ind w:left="210" w:firstLine="0" w:firstLineChars="0"/>
        <w:rPr>
          <w:rFonts w:hint="eastAsia"/>
          <w:b/>
          <w:bCs/>
          <w:highlight w:val="none"/>
        </w:rPr>
      </w:pPr>
    </w:p>
    <w:p w14:paraId="417C5BC1">
      <w:pPr>
        <w:pStyle w:val="33"/>
        <w:tabs>
          <w:tab w:val="decimal" w:pos="315"/>
          <w:tab w:val="left" w:pos="630"/>
        </w:tabs>
        <w:ind w:left="210" w:firstLine="0" w:firstLineChars="0"/>
        <w:rPr>
          <w:rFonts w:hint="eastAsia"/>
          <w:b/>
          <w:bCs/>
          <w:highlight w:val="none"/>
        </w:rPr>
      </w:pPr>
    </w:p>
    <w:p w14:paraId="6F0A843D">
      <w:pPr>
        <w:pStyle w:val="33"/>
        <w:tabs>
          <w:tab w:val="decimal" w:pos="315"/>
          <w:tab w:val="left" w:pos="630"/>
        </w:tabs>
        <w:ind w:left="210" w:firstLine="0" w:firstLineChars="0"/>
        <w:rPr>
          <w:rFonts w:hint="eastAsia"/>
          <w:b/>
          <w:bCs/>
          <w:highlight w:val="none"/>
        </w:rPr>
      </w:pPr>
    </w:p>
    <w:p w14:paraId="31B1A7CF">
      <w:pPr>
        <w:pStyle w:val="33"/>
        <w:tabs>
          <w:tab w:val="decimal" w:pos="315"/>
          <w:tab w:val="left" w:pos="630"/>
        </w:tabs>
        <w:ind w:left="210" w:firstLine="0" w:firstLineChars="0"/>
        <w:rPr>
          <w:rFonts w:hint="eastAsia"/>
          <w:b/>
          <w:bCs/>
          <w:highlight w:val="none"/>
        </w:rPr>
      </w:pPr>
    </w:p>
    <w:p w14:paraId="67DE597E">
      <w:pPr>
        <w:pStyle w:val="33"/>
        <w:tabs>
          <w:tab w:val="decimal" w:pos="315"/>
          <w:tab w:val="left" w:pos="630"/>
        </w:tabs>
        <w:ind w:left="210" w:firstLine="0" w:firstLineChars="0"/>
        <w:rPr>
          <w:rFonts w:hint="eastAsia"/>
          <w:b/>
          <w:bCs/>
          <w:highlight w:val="none"/>
        </w:rPr>
      </w:pPr>
    </w:p>
    <w:p w14:paraId="3E604480">
      <w:pPr>
        <w:pStyle w:val="33"/>
        <w:tabs>
          <w:tab w:val="decimal" w:pos="315"/>
          <w:tab w:val="left" w:pos="630"/>
        </w:tabs>
        <w:ind w:left="210" w:firstLine="0" w:firstLineChars="0"/>
        <w:rPr>
          <w:rFonts w:hint="eastAsia"/>
          <w:b/>
          <w:bCs/>
          <w:highlight w:val="none"/>
        </w:rPr>
      </w:pPr>
    </w:p>
    <w:p w14:paraId="41F716ED">
      <w:pPr>
        <w:pStyle w:val="33"/>
        <w:tabs>
          <w:tab w:val="decimal" w:pos="315"/>
          <w:tab w:val="left" w:pos="630"/>
        </w:tabs>
        <w:ind w:left="210" w:firstLine="0" w:firstLineChars="0"/>
        <w:rPr>
          <w:rFonts w:hint="eastAsia"/>
          <w:b/>
          <w:bCs/>
          <w:highlight w:val="none"/>
        </w:rPr>
      </w:pPr>
    </w:p>
    <w:p w14:paraId="5ED42C15">
      <w:pPr>
        <w:pStyle w:val="33"/>
        <w:tabs>
          <w:tab w:val="decimal" w:pos="315"/>
          <w:tab w:val="left" w:pos="630"/>
        </w:tabs>
        <w:ind w:left="210" w:firstLine="0" w:firstLineChars="0"/>
        <w:rPr>
          <w:rFonts w:hint="eastAsia"/>
          <w:b/>
          <w:bCs/>
          <w:highlight w:val="none"/>
        </w:rPr>
      </w:pPr>
    </w:p>
    <w:p w14:paraId="758899B1">
      <w:pPr>
        <w:pStyle w:val="33"/>
        <w:tabs>
          <w:tab w:val="decimal" w:pos="315"/>
          <w:tab w:val="left" w:pos="630"/>
        </w:tabs>
        <w:ind w:left="210" w:firstLine="0" w:firstLineChars="0"/>
        <w:rPr>
          <w:rFonts w:hint="eastAsia"/>
          <w:b/>
          <w:bCs/>
          <w:highlight w:val="none"/>
        </w:rPr>
      </w:pPr>
    </w:p>
    <w:p w14:paraId="783EC4B3">
      <w:pPr>
        <w:pStyle w:val="33"/>
        <w:tabs>
          <w:tab w:val="decimal" w:pos="315"/>
          <w:tab w:val="left" w:pos="630"/>
        </w:tabs>
        <w:ind w:left="210" w:firstLine="0" w:firstLineChars="0"/>
        <w:rPr>
          <w:rFonts w:hint="eastAsia"/>
          <w:b/>
          <w:bCs/>
          <w:highlight w:val="none"/>
        </w:rPr>
      </w:pPr>
    </w:p>
    <w:p w14:paraId="264CF22D">
      <w:pPr>
        <w:pStyle w:val="33"/>
        <w:numPr>
          <w:ilvl w:val="0"/>
          <w:numId w:val="2"/>
        </w:numPr>
        <w:tabs>
          <w:tab w:val="decimal" w:pos="315"/>
          <w:tab w:val="left" w:pos="630"/>
        </w:tabs>
        <w:ind w:firstLineChars="0"/>
        <w:rPr>
          <w:rFonts w:hint="eastAsia"/>
          <w:b/>
          <w:bCs/>
          <w:highlight w:val="none"/>
        </w:rPr>
      </w:pPr>
      <w:r>
        <w:rPr>
          <w:rFonts w:hint="eastAsia"/>
          <w:b/>
          <w:bCs/>
          <w:highlight w:val="none"/>
        </w:rPr>
        <w:t>无串通响应等违法违规行为承诺书</w:t>
      </w:r>
    </w:p>
    <w:p w14:paraId="223DE751">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8"/>
        <w:rPr>
          <w:rFonts w:hint="eastAsia"/>
          <w:highlight w:val="none"/>
        </w:rPr>
      </w:pPr>
    </w:p>
    <w:p w14:paraId="3F8A5820">
      <w:pPr>
        <w:rPr>
          <w:rFonts w:hint="eastAsia"/>
          <w:highlight w:val="none"/>
        </w:rPr>
      </w:pPr>
    </w:p>
    <w:p w14:paraId="6ADB2DF5">
      <w:pPr>
        <w:rPr>
          <w:rFonts w:hint="eastAsia"/>
          <w:highlight w:val="none"/>
        </w:rPr>
      </w:pPr>
    </w:p>
    <w:p w14:paraId="73BC6DA6">
      <w:pPr>
        <w:rPr>
          <w:rFonts w:hint="eastAsia"/>
          <w:highlight w:val="none"/>
        </w:rPr>
      </w:pPr>
    </w:p>
    <w:p w14:paraId="244778D6">
      <w:pPr>
        <w:rPr>
          <w:rFonts w:hint="eastAsia"/>
          <w:highlight w:val="none"/>
        </w:rPr>
      </w:pPr>
    </w:p>
    <w:p w14:paraId="694C2818">
      <w:pPr>
        <w:pStyle w:val="4"/>
        <w:ind w:left="0" w:leftChars="0"/>
        <w:rPr>
          <w:highlight w:val="none"/>
        </w:rPr>
      </w:pPr>
      <w:r>
        <w:rPr>
          <w:rFonts w:hint="eastAsia"/>
          <w:b/>
          <w:sz w:val="24"/>
          <w:highlight w:val="none"/>
        </w:rPr>
        <w:t>格式</w:t>
      </w:r>
      <w:r>
        <w:rPr>
          <w:rFonts w:hint="eastAsia"/>
          <w:b/>
          <w:sz w:val="24"/>
          <w:highlight w:val="none"/>
          <w:lang w:val="en-US" w:eastAsia="zh-CN"/>
        </w:rPr>
        <w:t>六</w:t>
      </w:r>
      <w:r>
        <w:rPr>
          <w:rFonts w:hint="eastAsia"/>
          <w:b/>
          <w:sz w:val="24"/>
          <w:highlight w:val="none"/>
        </w:rPr>
        <w:t>：无违法违纪行为承诺书</w:t>
      </w:r>
    </w:p>
    <w:p w14:paraId="74FA5FB0">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8"/>
        <w:rPr>
          <w:highlight w:val="none"/>
        </w:rPr>
      </w:pPr>
    </w:p>
    <w:p w14:paraId="6C2DF059">
      <w:pPr>
        <w:rPr>
          <w:highlight w:val="none"/>
        </w:rPr>
      </w:pPr>
    </w:p>
    <w:p w14:paraId="64AA7248">
      <w:pPr>
        <w:pStyle w:val="8"/>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18"/>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746F5C8E">
      <w:pPr>
        <w:pStyle w:val="4"/>
        <w:ind w:left="0" w:leftChars="0"/>
        <w:rPr>
          <w:rFonts w:hint="eastAsia"/>
          <w:b/>
          <w:sz w:val="24"/>
          <w:highlight w:val="none"/>
        </w:rPr>
      </w:pPr>
      <w:r>
        <w:rPr>
          <w:rFonts w:hint="eastAsia"/>
          <w:b/>
          <w:sz w:val="24"/>
          <w:highlight w:val="none"/>
        </w:rPr>
        <w:t>格式</w:t>
      </w:r>
      <w:r>
        <w:rPr>
          <w:rFonts w:hint="eastAsia"/>
          <w:b/>
          <w:sz w:val="24"/>
          <w:highlight w:val="none"/>
          <w:lang w:val="en-US" w:eastAsia="zh-CN"/>
        </w:rPr>
        <w:t>七</w:t>
      </w:r>
      <w:r>
        <w:rPr>
          <w:rFonts w:hint="eastAsia"/>
          <w:b/>
          <w:sz w:val="24"/>
          <w:highlight w:val="none"/>
        </w:rPr>
        <w:t>：业绩情况一览表</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1"/>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1"/>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20C7A9F"/>
    <w:rsid w:val="026F4134"/>
    <w:rsid w:val="027D172A"/>
    <w:rsid w:val="02B71832"/>
    <w:rsid w:val="034B6DE4"/>
    <w:rsid w:val="03AE5E66"/>
    <w:rsid w:val="03D96696"/>
    <w:rsid w:val="04321AE1"/>
    <w:rsid w:val="044959C1"/>
    <w:rsid w:val="04956AE0"/>
    <w:rsid w:val="04BD38C2"/>
    <w:rsid w:val="05415DAA"/>
    <w:rsid w:val="059B12C3"/>
    <w:rsid w:val="05A037E6"/>
    <w:rsid w:val="06070569"/>
    <w:rsid w:val="064F6E71"/>
    <w:rsid w:val="0654635C"/>
    <w:rsid w:val="07A11C91"/>
    <w:rsid w:val="07B36F67"/>
    <w:rsid w:val="08127715"/>
    <w:rsid w:val="08242341"/>
    <w:rsid w:val="084240B7"/>
    <w:rsid w:val="089D7DD2"/>
    <w:rsid w:val="08D44105"/>
    <w:rsid w:val="09092FFD"/>
    <w:rsid w:val="09322AD0"/>
    <w:rsid w:val="09457797"/>
    <w:rsid w:val="09E56F0E"/>
    <w:rsid w:val="09E76A06"/>
    <w:rsid w:val="0A3C2768"/>
    <w:rsid w:val="0A645793"/>
    <w:rsid w:val="0B3B7316"/>
    <w:rsid w:val="0C5332C3"/>
    <w:rsid w:val="0CA75583"/>
    <w:rsid w:val="0CC872A8"/>
    <w:rsid w:val="0CF85DDF"/>
    <w:rsid w:val="0D5A6D87"/>
    <w:rsid w:val="0D847C4F"/>
    <w:rsid w:val="0E355B19"/>
    <w:rsid w:val="0E536A00"/>
    <w:rsid w:val="0E5B5FC3"/>
    <w:rsid w:val="0E7A5E55"/>
    <w:rsid w:val="0EB300C3"/>
    <w:rsid w:val="0F4C0F63"/>
    <w:rsid w:val="0FA20891"/>
    <w:rsid w:val="0FA71E6F"/>
    <w:rsid w:val="0FD5219C"/>
    <w:rsid w:val="0FE13D46"/>
    <w:rsid w:val="10105367"/>
    <w:rsid w:val="10194349"/>
    <w:rsid w:val="101E3440"/>
    <w:rsid w:val="105C411B"/>
    <w:rsid w:val="11763118"/>
    <w:rsid w:val="11973186"/>
    <w:rsid w:val="11AD2023"/>
    <w:rsid w:val="120F351E"/>
    <w:rsid w:val="1233690D"/>
    <w:rsid w:val="126C0948"/>
    <w:rsid w:val="12926EFA"/>
    <w:rsid w:val="12B66D8B"/>
    <w:rsid w:val="12DD7FB1"/>
    <w:rsid w:val="13065F6D"/>
    <w:rsid w:val="131807C2"/>
    <w:rsid w:val="1335117B"/>
    <w:rsid w:val="13731CA7"/>
    <w:rsid w:val="139E4104"/>
    <w:rsid w:val="13C46CE8"/>
    <w:rsid w:val="13CD3690"/>
    <w:rsid w:val="13F66FF5"/>
    <w:rsid w:val="14147066"/>
    <w:rsid w:val="141B4D12"/>
    <w:rsid w:val="14847063"/>
    <w:rsid w:val="14A34167"/>
    <w:rsid w:val="14A64DE1"/>
    <w:rsid w:val="14BC4BF2"/>
    <w:rsid w:val="14CB1683"/>
    <w:rsid w:val="14E951B7"/>
    <w:rsid w:val="14F415B7"/>
    <w:rsid w:val="15254E58"/>
    <w:rsid w:val="155410C2"/>
    <w:rsid w:val="155E1C7E"/>
    <w:rsid w:val="156D5B46"/>
    <w:rsid w:val="15AD05C9"/>
    <w:rsid w:val="164134C1"/>
    <w:rsid w:val="16B50547"/>
    <w:rsid w:val="173F7E2B"/>
    <w:rsid w:val="17A90CD9"/>
    <w:rsid w:val="17C52DCA"/>
    <w:rsid w:val="180C6E5D"/>
    <w:rsid w:val="1810078A"/>
    <w:rsid w:val="181D2269"/>
    <w:rsid w:val="1864257A"/>
    <w:rsid w:val="18DC33FE"/>
    <w:rsid w:val="18FC5C71"/>
    <w:rsid w:val="190E5A1C"/>
    <w:rsid w:val="19150DE7"/>
    <w:rsid w:val="19163892"/>
    <w:rsid w:val="193D4365"/>
    <w:rsid w:val="19730A26"/>
    <w:rsid w:val="199839CC"/>
    <w:rsid w:val="19B56EAA"/>
    <w:rsid w:val="1A0F6C37"/>
    <w:rsid w:val="1A361CF4"/>
    <w:rsid w:val="1A3F2338"/>
    <w:rsid w:val="1A4F1E3F"/>
    <w:rsid w:val="1A9D7B4F"/>
    <w:rsid w:val="1AA73D43"/>
    <w:rsid w:val="1AB70828"/>
    <w:rsid w:val="1AF2145B"/>
    <w:rsid w:val="1B2750C0"/>
    <w:rsid w:val="1B3D23C9"/>
    <w:rsid w:val="1BD96C26"/>
    <w:rsid w:val="1BF2030E"/>
    <w:rsid w:val="1C0344CD"/>
    <w:rsid w:val="1C2456B1"/>
    <w:rsid w:val="1C5D12C5"/>
    <w:rsid w:val="1C8125C2"/>
    <w:rsid w:val="1CB270CF"/>
    <w:rsid w:val="1D0608F4"/>
    <w:rsid w:val="1D081AC5"/>
    <w:rsid w:val="1D122970"/>
    <w:rsid w:val="1D152408"/>
    <w:rsid w:val="1D507571"/>
    <w:rsid w:val="1D516358"/>
    <w:rsid w:val="1D9A3137"/>
    <w:rsid w:val="1DDF4E93"/>
    <w:rsid w:val="1DE26BA3"/>
    <w:rsid w:val="1E041EDF"/>
    <w:rsid w:val="1E3E12CD"/>
    <w:rsid w:val="1E852CF4"/>
    <w:rsid w:val="1EB25396"/>
    <w:rsid w:val="1F3B432C"/>
    <w:rsid w:val="1F710084"/>
    <w:rsid w:val="1F7C3313"/>
    <w:rsid w:val="1F9976C0"/>
    <w:rsid w:val="1FBA5C33"/>
    <w:rsid w:val="1FF132AA"/>
    <w:rsid w:val="20731E86"/>
    <w:rsid w:val="21580905"/>
    <w:rsid w:val="22450DA6"/>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66811"/>
    <w:rsid w:val="250F3FB0"/>
    <w:rsid w:val="253357AE"/>
    <w:rsid w:val="25816F63"/>
    <w:rsid w:val="2588078D"/>
    <w:rsid w:val="25C2328F"/>
    <w:rsid w:val="25CC0B6B"/>
    <w:rsid w:val="25DB120B"/>
    <w:rsid w:val="25DC73B6"/>
    <w:rsid w:val="26613359"/>
    <w:rsid w:val="26A40BF9"/>
    <w:rsid w:val="26E77012"/>
    <w:rsid w:val="27DC212D"/>
    <w:rsid w:val="27F50B98"/>
    <w:rsid w:val="281F2D00"/>
    <w:rsid w:val="28702D83"/>
    <w:rsid w:val="28800C4E"/>
    <w:rsid w:val="2885195F"/>
    <w:rsid w:val="28E53263"/>
    <w:rsid w:val="29303E2B"/>
    <w:rsid w:val="29474174"/>
    <w:rsid w:val="29B669AE"/>
    <w:rsid w:val="29D639B5"/>
    <w:rsid w:val="2A7F2E91"/>
    <w:rsid w:val="2AC35C5A"/>
    <w:rsid w:val="2AE0038E"/>
    <w:rsid w:val="2AF163EF"/>
    <w:rsid w:val="2B0611F2"/>
    <w:rsid w:val="2C0D7F3B"/>
    <w:rsid w:val="2C2B4F37"/>
    <w:rsid w:val="2C376C2F"/>
    <w:rsid w:val="2D7F1A29"/>
    <w:rsid w:val="2DD07B0B"/>
    <w:rsid w:val="2E493F85"/>
    <w:rsid w:val="2E6402CC"/>
    <w:rsid w:val="2E65537E"/>
    <w:rsid w:val="2EA46F2C"/>
    <w:rsid w:val="2EC86DBC"/>
    <w:rsid w:val="2F1F122A"/>
    <w:rsid w:val="2F215FF3"/>
    <w:rsid w:val="2F862C22"/>
    <w:rsid w:val="2FE847F6"/>
    <w:rsid w:val="30540A12"/>
    <w:rsid w:val="306C4391"/>
    <w:rsid w:val="309C75DC"/>
    <w:rsid w:val="30C7600D"/>
    <w:rsid w:val="30D3701B"/>
    <w:rsid w:val="311324BC"/>
    <w:rsid w:val="31293AA7"/>
    <w:rsid w:val="314E4A9B"/>
    <w:rsid w:val="31672DFC"/>
    <w:rsid w:val="318B0193"/>
    <w:rsid w:val="318B7B2F"/>
    <w:rsid w:val="320F2EF1"/>
    <w:rsid w:val="32B30CF2"/>
    <w:rsid w:val="32F477B5"/>
    <w:rsid w:val="33730AC8"/>
    <w:rsid w:val="33824742"/>
    <w:rsid w:val="33C75007"/>
    <w:rsid w:val="33E241A3"/>
    <w:rsid w:val="33E36D2F"/>
    <w:rsid w:val="33EF7B0F"/>
    <w:rsid w:val="343042A1"/>
    <w:rsid w:val="347A336B"/>
    <w:rsid w:val="34AB2B49"/>
    <w:rsid w:val="35416994"/>
    <w:rsid w:val="357436CD"/>
    <w:rsid w:val="35C12A64"/>
    <w:rsid w:val="35EB449F"/>
    <w:rsid w:val="35EF616F"/>
    <w:rsid w:val="362A1F41"/>
    <w:rsid w:val="3634544E"/>
    <w:rsid w:val="364439E4"/>
    <w:rsid w:val="367478B5"/>
    <w:rsid w:val="36AF18A3"/>
    <w:rsid w:val="36C16F69"/>
    <w:rsid w:val="37536184"/>
    <w:rsid w:val="37FC25E8"/>
    <w:rsid w:val="381D0162"/>
    <w:rsid w:val="383A72A1"/>
    <w:rsid w:val="38A47258"/>
    <w:rsid w:val="38AD3B89"/>
    <w:rsid w:val="39210D1B"/>
    <w:rsid w:val="39706F1A"/>
    <w:rsid w:val="397D4B67"/>
    <w:rsid w:val="398654C1"/>
    <w:rsid w:val="39D249D2"/>
    <w:rsid w:val="3A0604FB"/>
    <w:rsid w:val="3ABC4E9A"/>
    <w:rsid w:val="3ACD7016"/>
    <w:rsid w:val="3B1629BB"/>
    <w:rsid w:val="3B425FF9"/>
    <w:rsid w:val="3B9207E8"/>
    <w:rsid w:val="3B96408D"/>
    <w:rsid w:val="3BA157A6"/>
    <w:rsid w:val="3C2D4A5B"/>
    <w:rsid w:val="3C7B1343"/>
    <w:rsid w:val="3CB02E28"/>
    <w:rsid w:val="3CEB4A5B"/>
    <w:rsid w:val="3D0C031A"/>
    <w:rsid w:val="3D371009"/>
    <w:rsid w:val="3DA13D5E"/>
    <w:rsid w:val="3DA97FFD"/>
    <w:rsid w:val="3DB647D3"/>
    <w:rsid w:val="3E2D5311"/>
    <w:rsid w:val="3E9B73AF"/>
    <w:rsid w:val="3EAF249C"/>
    <w:rsid w:val="3F1E2BD3"/>
    <w:rsid w:val="3F290C82"/>
    <w:rsid w:val="3FBD0BAE"/>
    <w:rsid w:val="3FF62ABE"/>
    <w:rsid w:val="403F6094"/>
    <w:rsid w:val="41357C9D"/>
    <w:rsid w:val="41384034"/>
    <w:rsid w:val="41FB38E8"/>
    <w:rsid w:val="42184B9F"/>
    <w:rsid w:val="421D7F4B"/>
    <w:rsid w:val="42717540"/>
    <w:rsid w:val="42894042"/>
    <w:rsid w:val="42CB76A9"/>
    <w:rsid w:val="42D431E1"/>
    <w:rsid w:val="434D7F2B"/>
    <w:rsid w:val="437316E5"/>
    <w:rsid w:val="43780E57"/>
    <w:rsid w:val="43830078"/>
    <w:rsid w:val="43C91598"/>
    <w:rsid w:val="43DD4B86"/>
    <w:rsid w:val="444706C2"/>
    <w:rsid w:val="445B3FBA"/>
    <w:rsid w:val="44B96FF5"/>
    <w:rsid w:val="451D6A30"/>
    <w:rsid w:val="45350C77"/>
    <w:rsid w:val="46366B4D"/>
    <w:rsid w:val="466225D9"/>
    <w:rsid w:val="46674A02"/>
    <w:rsid w:val="46792BEA"/>
    <w:rsid w:val="46DF78FC"/>
    <w:rsid w:val="471E284C"/>
    <w:rsid w:val="477E75DC"/>
    <w:rsid w:val="479613BE"/>
    <w:rsid w:val="47F92762"/>
    <w:rsid w:val="480C6CE1"/>
    <w:rsid w:val="486440DC"/>
    <w:rsid w:val="48824A73"/>
    <w:rsid w:val="4883477C"/>
    <w:rsid w:val="49160E35"/>
    <w:rsid w:val="491A11EF"/>
    <w:rsid w:val="498C2647"/>
    <w:rsid w:val="49FB78F0"/>
    <w:rsid w:val="4A2A1CE5"/>
    <w:rsid w:val="4A6972CF"/>
    <w:rsid w:val="4AE36536"/>
    <w:rsid w:val="4B215BCE"/>
    <w:rsid w:val="4B4B30CF"/>
    <w:rsid w:val="4B8C5FE6"/>
    <w:rsid w:val="4BA13F1F"/>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F093CA9"/>
    <w:rsid w:val="4F5E3989"/>
    <w:rsid w:val="4F950C67"/>
    <w:rsid w:val="4FD82C64"/>
    <w:rsid w:val="50306369"/>
    <w:rsid w:val="50563C2C"/>
    <w:rsid w:val="507A161B"/>
    <w:rsid w:val="50B23FA3"/>
    <w:rsid w:val="50DD7301"/>
    <w:rsid w:val="51275075"/>
    <w:rsid w:val="51306EED"/>
    <w:rsid w:val="51AA37E9"/>
    <w:rsid w:val="51EA0E43"/>
    <w:rsid w:val="52577A0A"/>
    <w:rsid w:val="52703326"/>
    <w:rsid w:val="528079D5"/>
    <w:rsid w:val="52C2229C"/>
    <w:rsid w:val="52D91B65"/>
    <w:rsid w:val="531D551D"/>
    <w:rsid w:val="533015C4"/>
    <w:rsid w:val="535C52E6"/>
    <w:rsid w:val="53803128"/>
    <w:rsid w:val="53A85FDD"/>
    <w:rsid w:val="53C64393"/>
    <w:rsid w:val="54767E7A"/>
    <w:rsid w:val="54E978DB"/>
    <w:rsid w:val="54FF433E"/>
    <w:rsid w:val="55513BBF"/>
    <w:rsid w:val="556C7EFE"/>
    <w:rsid w:val="56292694"/>
    <w:rsid w:val="56457A9E"/>
    <w:rsid w:val="56B22C1E"/>
    <w:rsid w:val="56E973C7"/>
    <w:rsid w:val="57031B32"/>
    <w:rsid w:val="573F761C"/>
    <w:rsid w:val="574657B9"/>
    <w:rsid w:val="57A57489"/>
    <w:rsid w:val="57A87BB0"/>
    <w:rsid w:val="57CA29DE"/>
    <w:rsid w:val="57F067B7"/>
    <w:rsid w:val="584A1532"/>
    <w:rsid w:val="58A75C91"/>
    <w:rsid w:val="58FF0E19"/>
    <w:rsid w:val="59182329"/>
    <w:rsid w:val="59785AD5"/>
    <w:rsid w:val="59C57F5B"/>
    <w:rsid w:val="5A3B0749"/>
    <w:rsid w:val="5A5D046C"/>
    <w:rsid w:val="5AE4424C"/>
    <w:rsid w:val="5B3538D8"/>
    <w:rsid w:val="5B88216D"/>
    <w:rsid w:val="5BEE75D9"/>
    <w:rsid w:val="5BF42158"/>
    <w:rsid w:val="5C013996"/>
    <w:rsid w:val="5C2C01DC"/>
    <w:rsid w:val="5C5411D8"/>
    <w:rsid w:val="5CF74222"/>
    <w:rsid w:val="5D337249"/>
    <w:rsid w:val="5D530FE7"/>
    <w:rsid w:val="5D87651F"/>
    <w:rsid w:val="5DBF146B"/>
    <w:rsid w:val="5E0F60B1"/>
    <w:rsid w:val="5E1F0056"/>
    <w:rsid w:val="5E7D786B"/>
    <w:rsid w:val="5E9A60E7"/>
    <w:rsid w:val="5EBA003B"/>
    <w:rsid w:val="5FB82473"/>
    <w:rsid w:val="5FF516A8"/>
    <w:rsid w:val="604A6791"/>
    <w:rsid w:val="605B59B8"/>
    <w:rsid w:val="60C253EF"/>
    <w:rsid w:val="60D80F17"/>
    <w:rsid w:val="60D84475"/>
    <w:rsid w:val="60EC39AD"/>
    <w:rsid w:val="619B0AFB"/>
    <w:rsid w:val="61DD4664"/>
    <w:rsid w:val="61E11E81"/>
    <w:rsid w:val="62B561CE"/>
    <w:rsid w:val="62C1183B"/>
    <w:rsid w:val="62C53944"/>
    <w:rsid w:val="63935E5F"/>
    <w:rsid w:val="63AD64A6"/>
    <w:rsid w:val="648D6F4F"/>
    <w:rsid w:val="64D511EA"/>
    <w:rsid w:val="64F93374"/>
    <w:rsid w:val="65007483"/>
    <w:rsid w:val="654215C6"/>
    <w:rsid w:val="65E44122"/>
    <w:rsid w:val="65F17C26"/>
    <w:rsid w:val="669B2BD8"/>
    <w:rsid w:val="67456B1F"/>
    <w:rsid w:val="679B3E58"/>
    <w:rsid w:val="67A624E1"/>
    <w:rsid w:val="67E124EF"/>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C4522D"/>
    <w:rsid w:val="6B1104B4"/>
    <w:rsid w:val="6C04178A"/>
    <w:rsid w:val="6C11269F"/>
    <w:rsid w:val="6C2A5903"/>
    <w:rsid w:val="6C355466"/>
    <w:rsid w:val="6C4255C7"/>
    <w:rsid w:val="6D761B68"/>
    <w:rsid w:val="6DD46C2D"/>
    <w:rsid w:val="6E506F8F"/>
    <w:rsid w:val="6EC84708"/>
    <w:rsid w:val="6F1572A0"/>
    <w:rsid w:val="6FA74FF3"/>
    <w:rsid w:val="6FBD6F8D"/>
    <w:rsid w:val="6FF05465"/>
    <w:rsid w:val="6FF92EFA"/>
    <w:rsid w:val="7048642E"/>
    <w:rsid w:val="70675C74"/>
    <w:rsid w:val="70B622DA"/>
    <w:rsid w:val="70C816C5"/>
    <w:rsid w:val="70D1632C"/>
    <w:rsid w:val="70DF707F"/>
    <w:rsid w:val="71C97B84"/>
    <w:rsid w:val="72117F55"/>
    <w:rsid w:val="727A0BE5"/>
    <w:rsid w:val="72C23C67"/>
    <w:rsid w:val="737B724B"/>
    <w:rsid w:val="737E3665"/>
    <w:rsid w:val="73804649"/>
    <w:rsid w:val="7418624A"/>
    <w:rsid w:val="741C1A4E"/>
    <w:rsid w:val="749649DF"/>
    <w:rsid w:val="74A91A49"/>
    <w:rsid w:val="75166107"/>
    <w:rsid w:val="75361222"/>
    <w:rsid w:val="754356EA"/>
    <w:rsid w:val="755954E2"/>
    <w:rsid w:val="7575776E"/>
    <w:rsid w:val="757A60AE"/>
    <w:rsid w:val="75E15C9A"/>
    <w:rsid w:val="75F431FF"/>
    <w:rsid w:val="760C4FC0"/>
    <w:rsid w:val="764D77F8"/>
    <w:rsid w:val="766D10AA"/>
    <w:rsid w:val="76D70A6A"/>
    <w:rsid w:val="774B06EA"/>
    <w:rsid w:val="775B1491"/>
    <w:rsid w:val="77A95037"/>
    <w:rsid w:val="77DE1B76"/>
    <w:rsid w:val="780B759D"/>
    <w:rsid w:val="782D78AE"/>
    <w:rsid w:val="786101C1"/>
    <w:rsid w:val="78C12D83"/>
    <w:rsid w:val="78CF0F6E"/>
    <w:rsid w:val="798B12FD"/>
    <w:rsid w:val="7B4E4990"/>
    <w:rsid w:val="7BD30CC7"/>
    <w:rsid w:val="7BD563DA"/>
    <w:rsid w:val="7C8F163B"/>
    <w:rsid w:val="7CAA0ADC"/>
    <w:rsid w:val="7D4B2583"/>
    <w:rsid w:val="7E0843C1"/>
    <w:rsid w:val="7EA00289"/>
    <w:rsid w:val="7F0A7E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3"/>
    <w:basedOn w:val="1"/>
    <w:next w:val="1"/>
    <w:link w:val="23"/>
    <w:qFormat/>
    <w:uiPriority w:val="0"/>
    <w:pPr>
      <w:keepNext/>
      <w:spacing w:line="460" w:lineRule="exact"/>
      <w:outlineLvl w:val="2"/>
    </w:pPr>
    <w:rPr>
      <w:rFonts w:ascii="宋体" w:hAnsi="宋体"/>
      <w:b/>
      <w:bCs/>
      <w:sz w:val="3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tabs>
        <w:tab w:val="decimal" w:pos="315"/>
        <w:tab w:val="left" w:pos="630"/>
      </w:tabs>
      <w:ind w:left="420" w:leftChars="200"/>
    </w:pPr>
  </w:style>
  <w:style w:type="paragraph" w:styleId="5">
    <w:name w:val="Normal Indent"/>
    <w:basedOn w:val="1"/>
    <w:qFormat/>
    <w:uiPriority w:val="0"/>
    <w:pPr>
      <w:ind w:firstLine="420"/>
    </w:pPr>
    <w:rPr>
      <w:rFonts w:cs="楷体_GB2312"/>
      <w:szCs w:val="20"/>
    </w:rPr>
  </w:style>
  <w:style w:type="paragraph" w:styleId="6">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7">
    <w:name w:val="annotation text"/>
    <w:basedOn w:val="1"/>
    <w:qFormat/>
    <w:uiPriority w:val="0"/>
  </w:style>
  <w:style w:type="paragraph" w:styleId="8">
    <w:name w:val="Body Text"/>
    <w:basedOn w:val="1"/>
    <w:next w:val="1"/>
    <w:link w:val="24"/>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alloon Text"/>
    <w:basedOn w:val="1"/>
    <w:link w:val="25"/>
    <w:unhideWhenUsed/>
    <w:qFormat/>
    <w:uiPriority w:val="99"/>
    <w:pPr>
      <w:spacing w:line="240" w:lineRule="auto"/>
    </w:pPr>
    <w:rPr>
      <w:kern w:val="0"/>
      <w:sz w:val="18"/>
      <w:szCs w:val="18"/>
    </w:rPr>
  </w:style>
  <w:style w:type="paragraph" w:styleId="11">
    <w:name w:val="footer"/>
    <w:basedOn w:val="1"/>
    <w:link w:val="26"/>
    <w:unhideWhenUsed/>
    <w:qFormat/>
    <w:uiPriority w:val="0"/>
    <w:pPr>
      <w:tabs>
        <w:tab w:val="center" w:pos="4153"/>
        <w:tab w:val="right" w:pos="8306"/>
      </w:tabs>
      <w:snapToGrid w:val="0"/>
      <w:jc w:val="left"/>
    </w:pPr>
    <w:rPr>
      <w:kern w:val="0"/>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heading"/>
    <w:basedOn w:val="1"/>
    <w:next w:val="14"/>
    <w:qFormat/>
    <w:uiPriority w:val="0"/>
    <w:pPr>
      <w:tabs>
        <w:tab w:val="decimal" w:pos="315"/>
        <w:tab w:val="left" w:pos="630"/>
      </w:tabs>
    </w:pPr>
    <w:rPr>
      <w:rFonts w:ascii="Times New Roman" w:hAnsi="Times New Roman"/>
      <w:szCs w:val="20"/>
    </w:rPr>
  </w:style>
  <w:style w:type="paragraph" w:styleId="14">
    <w:name w:val="index 1"/>
    <w:basedOn w:val="1"/>
    <w:next w:val="1"/>
    <w:qFormat/>
    <w:uiPriority w:val="0"/>
    <w:pPr>
      <w:tabs>
        <w:tab w:val="decimal" w:pos="315"/>
        <w:tab w:val="left" w:pos="630"/>
      </w:tabs>
    </w:pPr>
  </w:style>
  <w:style w:type="paragraph" w:styleId="15">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6">
    <w:name w:val="Body Text First Indent"/>
    <w:basedOn w:val="1"/>
    <w:link w:val="29"/>
    <w:qFormat/>
    <w:uiPriority w:val="0"/>
    <w:pPr>
      <w:widowControl/>
      <w:spacing w:before="100" w:beforeAutospacing="1" w:after="100" w:afterAutospacing="1" w:line="360" w:lineRule="auto"/>
      <w:jc w:val="left"/>
    </w:pPr>
    <w:rPr>
      <w:rFonts w:ascii="宋体" w:hAnsi="宋体" w:eastAsia="华文新魏"/>
      <w:sz w:val="24"/>
    </w:rPr>
  </w:style>
  <w:style w:type="paragraph" w:styleId="17">
    <w:name w:val="Body Text First Indent 2"/>
    <w:basedOn w:val="9"/>
    <w:unhideWhenUsed/>
    <w:qFormat/>
    <w:uiPriority w:val="99"/>
    <w:pPr>
      <w:spacing w:after="0" w:line="360" w:lineRule="auto"/>
      <w:ind w:left="0" w:leftChars="0"/>
      <w:jc w:val="both"/>
    </w:pPr>
  </w:style>
  <w:style w:type="table" w:styleId="19">
    <w:name w:val="Table Grid"/>
    <w:basedOn w:val="18"/>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Hyperlink"/>
    <w:unhideWhenUsed/>
    <w:qFormat/>
    <w:uiPriority w:val="99"/>
    <w:rPr>
      <w:color w:val="313346"/>
      <w:u w:val="none"/>
    </w:rPr>
  </w:style>
  <w:style w:type="character" w:customStyle="1" w:styleId="23">
    <w:name w:val="标题 3 字符"/>
    <w:link w:val="3"/>
    <w:qFormat/>
    <w:uiPriority w:val="0"/>
    <w:rPr>
      <w:rFonts w:ascii="宋体" w:hAnsi="宋体"/>
      <w:b/>
      <w:bCs/>
      <w:kern w:val="2"/>
      <w:sz w:val="30"/>
      <w:szCs w:val="24"/>
    </w:rPr>
  </w:style>
  <w:style w:type="character" w:customStyle="1" w:styleId="24">
    <w:name w:val="正文文本 字符"/>
    <w:link w:val="8"/>
    <w:semiHidden/>
    <w:qFormat/>
    <w:uiPriority w:val="99"/>
    <w:rPr>
      <w:kern w:val="2"/>
      <w:sz w:val="21"/>
      <w:szCs w:val="24"/>
    </w:rPr>
  </w:style>
  <w:style w:type="character" w:customStyle="1" w:styleId="25">
    <w:name w:val="批注框文本 字符"/>
    <w:link w:val="10"/>
    <w:semiHidden/>
    <w:qFormat/>
    <w:uiPriority w:val="99"/>
    <w:rPr>
      <w:sz w:val="18"/>
      <w:szCs w:val="18"/>
    </w:rPr>
  </w:style>
  <w:style w:type="character" w:customStyle="1" w:styleId="26">
    <w:name w:val="页脚 字符"/>
    <w:link w:val="11"/>
    <w:qFormat/>
    <w:uiPriority w:val="0"/>
    <w:rPr>
      <w:sz w:val="18"/>
      <w:szCs w:val="18"/>
    </w:rPr>
  </w:style>
  <w:style w:type="character" w:customStyle="1" w:styleId="27">
    <w:name w:val="页眉 字符"/>
    <w:link w:val="12"/>
    <w:qFormat/>
    <w:uiPriority w:val="99"/>
    <w:rPr>
      <w:sz w:val="18"/>
      <w:szCs w:val="18"/>
    </w:rPr>
  </w:style>
  <w:style w:type="character" w:customStyle="1" w:styleId="28">
    <w:name w:val="HTML 预设格式 字符"/>
    <w:link w:val="15"/>
    <w:qFormat/>
    <w:uiPriority w:val="99"/>
    <w:rPr>
      <w:rFonts w:ascii="宋体" w:hAnsi="宋体" w:cs="宋体"/>
      <w:sz w:val="24"/>
      <w:szCs w:val="24"/>
    </w:rPr>
  </w:style>
  <w:style w:type="character" w:customStyle="1" w:styleId="29">
    <w:name w:val="正文文本首行缩进 字符"/>
    <w:link w:val="16"/>
    <w:qFormat/>
    <w:uiPriority w:val="0"/>
    <w:rPr>
      <w:rFonts w:ascii="宋体" w:hAnsi="宋体" w:eastAsia="华文新魏"/>
      <w:kern w:val="2"/>
      <w:sz w:val="24"/>
      <w:szCs w:val="24"/>
    </w:rPr>
  </w:style>
  <w:style w:type="character" w:customStyle="1" w:styleId="30">
    <w:name w:val="style91"/>
    <w:qFormat/>
    <w:uiPriority w:val="0"/>
    <w:rPr>
      <w:color w:val="000000"/>
    </w:rPr>
  </w:style>
  <w:style w:type="paragraph" w:customStyle="1" w:styleId="31">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3">
    <w:name w:val="B"/>
    <w:basedOn w:val="8"/>
    <w:qFormat/>
    <w:uiPriority w:val="1"/>
    <w:pPr>
      <w:ind w:left="0" w:firstLine="480" w:firstLineChars="200"/>
    </w:pPr>
    <w:rPr>
      <w:sz w:val="24"/>
      <w:szCs w:val="24"/>
      <w:lang w:eastAsia="zh-CN"/>
    </w:rPr>
  </w:style>
  <w:style w:type="paragraph" w:customStyle="1" w:styleId="34">
    <w:name w:val="null3"/>
    <w:qFormat/>
    <w:uiPriority w:val="0"/>
    <w:rPr>
      <w:rFonts w:hint="eastAsia" w:ascii="Calibri" w:hAnsi="Calibri" w:eastAsia="宋体" w:cs="Times New Roman"/>
      <w:lang w:val="en-US" w:eastAsia="zh-Hans" w:bidi="ar-SA"/>
    </w:rPr>
  </w:style>
  <w:style w:type="paragraph" w:styleId="35">
    <w:name w:val="List Paragraph"/>
    <w:basedOn w:val="1"/>
    <w:qFormat/>
    <w:uiPriority w:val="34"/>
    <w:pPr>
      <w:spacing w:line="240" w:lineRule="auto"/>
      <w:ind w:firstLine="420" w:firstLineChars="200"/>
    </w:pPr>
    <w:rPr>
      <w:szCs w:val="22"/>
    </w:rPr>
  </w:style>
  <w:style w:type="paragraph" w:customStyle="1" w:styleId="36">
    <w:name w:val="题注5"/>
    <w:basedOn w:val="1"/>
    <w:next w:val="6"/>
    <w:qFormat/>
    <w:uiPriority w:val="0"/>
    <w:pPr>
      <w:tabs>
        <w:tab w:val="decimal" w:pos="315"/>
        <w:tab w:val="left" w:pos="630"/>
      </w:tabs>
      <w:jc w:val="center"/>
    </w:pPr>
    <w:rPr>
      <w:rFonts w:ascii="Times New Roman" w:hAnsi="Times New Roman"/>
      <w:b/>
      <w:color w:val="000000"/>
      <w:sz w:val="24"/>
      <w:szCs w:val="21"/>
    </w:rPr>
  </w:style>
  <w:style w:type="paragraph" w:customStyle="1" w:styleId="37">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表格文字"/>
    <w:basedOn w:val="1"/>
    <w:next w:val="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3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0">
    <w:name w:val="Default"/>
    <w:next w:val="3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1">
    <w:name w:val="Table Paragraph"/>
    <w:basedOn w:val="1"/>
    <w:next w:val="1"/>
    <w:qFormat/>
    <w:uiPriority w:val="0"/>
    <w:pPr>
      <w:spacing w:line="360" w:lineRule="auto"/>
    </w:pPr>
  </w:style>
  <w:style w:type="paragraph" w:customStyle="1" w:styleId="42">
    <w:name w:val="Table Text"/>
    <w:basedOn w:val="1"/>
    <w:semiHidden/>
    <w:qFormat/>
    <w:uiPriority w:val="0"/>
    <w:rPr>
      <w:rFonts w:ascii="宋体" w:hAnsi="宋体" w:eastAsia="宋体" w:cs="宋体"/>
      <w:sz w:val="24"/>
      <w:szCs w:val="24"/>
      <w:lang w:val="en-US" w:eastAsia="en-US" w:bidi="ar-SA"/>
    </w:rPr>
  </w:style>
  <w:style w:type="table" w:customStyle="1" w:styleId="43">
    <w:name w:val="Table Normal"/>
    <w:unhideWhenUsed/>
    <w:qFormat/>
    <w:uiPriority w:val="2"/>
    <w:tblPr>
      <w:tblCellMar>
        <w:top w:w="0" w:type="dxa"/>
        <w:left w:w="0" w:type="dxa"/>
        <w:bottom w:w="0" w:type="dxa"/>
        <w:right w:w="0" w:type="dxa"/>
      </w:tblCellMar>
    </w:tblPr>
  </w:style>
  <w:style w:type="character" w:customStyle="1" w:styleId="44">
    <w:name w:val="NormalCharacter"/>
    <w:link w:val="45"/>
    <w:qFormat/>
    <w:uiPriority w:val="0"/>
    <w:rPr>
      <w:rFonts w:ascii="Times New Roman" w:hAnsi="Times New Roman" w:eastAsia="宋体" w:cs="Times New Roman"/>
      <w:kern w:val="0"/>
      <w:sz w:val="20"/>
      <w:szCs w:val="20"/>
    </w:rPr>
  </w:style>
  <w:style w:type="paragraph" w:customStyle="1" w:styleId="45">
    <w:name w:val="UserStyle_3"/>
    <w:basedOn w:val="1"/>
    <w:link w:val="44"/>
    <w:qFormat/>
    <w:uiPriority w:val="0"/>
    <w:pPr>
      <w:spacing w:after="160" w:line="240" w:lineRule="exact"/>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2152</Words>
  <Characters>2203</Characters>
  <Lines>102</Lines>
  <Paragraphs>28</Paragraphs>
  <TotalTime>0</TotalTime>
  <ScaleCrop>false</ScaleCrop>
  <LinksUpToDate>false</LinksUpToDate>
  <CharactersWithSpaces>2216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2026-02-13T08:18:12Z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