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8BA902">
      <w:pPr>
        <w:widowControl/>
        <w:jc w:val="left"/>
        <w:rPr>
          <w:rFonts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附件3：                 采购</w:t>
      </w:r>
      <w:r>
        <w:rPr>
          <w:rFonts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清单</w:t>
      </w:r>
    </w:p>
    <w:p w14:paraId="42E446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</w:p>
    <w:p w14:paraId="7AEDE9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/>
          <w:bCs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0"/>
          <w:sz w:val="24"/>
          <w:szCs w:val="24"/>
          <w:lang w:val="en-US" w:eastAsia="zh-CN"/>
        </w:rPr>
        <w:t>一、明细表</w:t>
      </w:r>
    </w:p>
    <w:p w14:paraId="1AE099A9">
      <w:pPr>
        <w:numPr>
          <w:ilvl w:val="0"/>
          <w:numId w:val="0"/>
        </w:numPr>
        <w:jc w:val="left"/>
        <w:rPr>
          <w:rFonts w:hint="eastAsia" w:ascii="仿宋_GB2312" w:hAnsi="宋体" w:eastAsia="仿宋_GB2312"/>
          <w:color w:val="000000"/>
          <w:sz w:val="24"/>
          <w:szCs w:val="24"/>
          <w:lang w:eastAsia="zh-CN"/>
        </w:rPr>
      </w:pPr>
    </w:p>
    <w:tbl>
      <w:tblPr>
        <w:tblStyle w:val="3"/>
        <w:tblW w:w="83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2266"/>
        <w:gridCol w:w="2355"/>
        <w:gridCol w:w="1292"/>
        <w:gridCol w:w="1524"/>
      </w:tblGrid>
      <w:tr w14:paraId="66084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exact"/>
          <w:jc w:val="center"/>
        </w:trPr>
        <w:tc>
          <w:tcPr>
            <w:tcW w:w="878" w:type="dxa"/>
            <w:vAlign w:val="center"/>
          </w:tcPr>
          <w:p w14:paraId="5C06C039">
            <w:pPr>
              <w:pStyle w:val="5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zh-CN"/>
              </w:rPr>
              <w:t>序号</w:t>
            </w:r>
          </w:p>
        </w:tc>
        <w:tc>
          <w:tcPr>
            <w:tcW w:w="2266" w:type="dxa"/>
            <w:vAlign w:val="center"/>
          </w:tcPr>
          <w:p w14:paraId="355EE03D">
            <w:pPr>
              <w:pStyle w:val="5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zh-CN"/>
              </w:rPr>
              <w:t>设备名称</w:t>
            </w:r>
          </w:p>
        </w:tc>
        <w:tc>
          <w:tcPr>
            <w:tcW w:w="2355" w:type="dxa"/>
            <w:vAlign w:val="center"/>
          </w:tcPr>
          <w:p w14:paraId="377F375C">
            <w:pPr>
              <w:pStyle w:val="5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  <w:t>参数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zh-CN"/>
              </w:rPr>
              <w:t>规格</w:t>
            </w:r>
          </w:p>
        </w:tc>
        <w:tc>
          <w:tcPr>
            <w:tcW w:w="1292" w:type="dxa"/>
            <w:vAlign w:val="center"/>
          </w:tcPr>
          <w:p w14:paraId="7EAACC7D">
            <w:pPr>
              <w:pStyle w:val="5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zh-CN"/>
              </w:rPr>
              <w:t>单位</w:t>
            </w:r>
          </w:p>
        </w:tc>
        <w:tc>
          <w:tcPr>
            <w:tcW w:w="1524" w:type="dxa"/>
            <w:vAlign w:val="center"/>
          </w:tcPr>
          <w:p w14:paraId="79FE394C">
            <w:pPr>
              <w:pStyle w:val="5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zh-CN"/>
              </w:rPr>
              <w:t>数量</w:t>
            </w:r>
          </w:p>
        </w:tc>
      </w:tr>
      <w:tr w14:paraId="1465B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exact"/>
          <w:jc w:val="center"/>
        </w:trPr>
        <w:tc>
          <w:tcPr>
            <w:tcW w:w="878" w:type="dxa"/>
            <w:vAlign w:val="center"/>
          </w:tcPr>
          <w:p w14:paraId="7AFA09D7">
            <w:pPr>
              <w:pStyle w:val="6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zh-CN"/>
              </w:rPr>
              <w:t>1</w:t>
            </w:r>
          </w:p>
        </w:tc>
        <w:tc>
          <w:tcPr>
            <w:tcW w:w="2266" w:type="dxa"/>
            <w:vAlign w:val="center"/>
          </w:tcPr>
          <w:p w14:paraId="24891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门磁探测器</w:t>
            </w:r>
          </w:p>
        </w:tc>
        <w:tc>
          <w:tcPr>
            <w:tcW w:w="2355" w:type="dxa"/>
            <w:vAlign w:val="center"/>
          </w:tcPr>
          <w:p w14:paraId="06E91189">
            <w:pPr>
              <w:pStyle w:val="7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92" w:type="dxa"/>
            <w:vAlign w:val="center"/>
          </w:tcPr>
          <w:p w14:paraId="185A631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1524" w:type="dxa"/>
            <w:vAlign w:val="center"/>
          </w:tcPr>
          <w:p w14:paraId="4CB4D5C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147</w:t>
            </w:r>
          </w:p>
        </w:tc>
      </w:tr>
      <w:tr w14:paraId="350E4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exact"/>
          <w:jc w:val="center"/>
        </w:trPr>
        <w:tc>
          <w:tcPr>
            <w:tcW w:w="878" w:type="dxa"/>
            <w:vAlign w:val="center"/>
          </w:tcPr>
          <w:p w14:paraId="5E0B305B">
            <w:pPr>
              <w:pStyle w:val="6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266" w:type="dxa"/>
            <w:vAlign w:val="center"/>
          </w:tcPr>
          <w:p w14:paraId="01EC2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8防区扩展模块</w:t>
            </w:r>
          </w:p>
        </w:tc>
        <w:tc>
          <w:tcPr>
            <w:tcW w:w="2355" w:type="dxa"/>
            <w:vAlign w:val="center"/>
          </w:tcPr>
          <w:p w14:paraId="6EB5B60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 w:bidi="ar-SA"/>
              </w:rPr>
              <w:t>住院楼增加模块4个</w:t>
            </w:r>
          </w:p>
        </w:tc>
        <w:tc>
          <w:tcPr>
            <w:tcW w:w="1292" w:type="dxa"/>
            <w:vAlign w:val="center"/>
          </w:tcPr>
          <w:p w14:paraId="209DDFD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1524" w:type="dxa"/>
            <w:vAlign w:val="center"/>
          </w:tcPr>
          <w:p w14:paraId="0D3F1F0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</w:p>
        </w:tc>
      </w:tr>
      <w:tr w14:paraId="0FAC4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878" w:type="dxa"/>
            <w:vAlign w:val="center"/>
          </w:tcPr>
          <w:p w14:paraId="281213DC">
            <w:pPr>
              <w:pStyle w:val="6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2CC7A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光纤收发器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17657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单模</w:t>
            </w:r>
          </w:p>
        </w:tc>
        <w:tc>
          <w:tcPr>
            <w:tcW w:w="1292" w:type="dxa"/>
            <w:shd w:val="clear" w:color="auto" w:fill="auto"/>
            <w:vAlign w:val="center"/>
          </w:tcPr>
          <w:p w14:paraId="39472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对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A1C0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</w:tr>
      <w:tr w14:paraId="7EBCC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exact"/>
          <w:jc w:val="center"/>
        </w:trPr>
        <w:tc>
          <w:tcPr>
            <w:tcW w:w="878" w:type="dxa"/>
            <w:vAlign w:val="center"/>
          </w:tcPr>
          <w:p w14:paraId="628A018B">
            <w:pPr>
              <w:pStyle w:val="6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0549C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联动报警摄像机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40C6B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门诊弱电间报警联动</w:t>
            </w:r>
          </w:p>
        </w:tc>
        <w:tc>
          <w:tcPr>
            <w:tcW w:w="1292" w:type="dxa"/>
            <w:shd w:val="clear" w:color="auto" w:fill="auto"/>
            <w:vAlign w:val="center"/>
          </w:tcPr>
          <w:p w14:paraId="691DB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502EC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8</w:t>
            </w:r>
          </w:p>
        </w:tc>
      </w:tr>
      <w:tr w14:paraId="58B67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exact"/>
          <w:jc w:val="center"/>
        </w:trPr>
        <w:tc>
          <w:tcPr>
            <w:tcW w:w="878" w:type="dxa"/>
            <w:vAlign w:val="center"/>
          </w:tcPr>
          <w:p w14:paraId="6DBA46A9">
            <w:pPr>
              <w:pStyle w:val="6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1100E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控制线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5407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屏蔽护套电源线RVVP2*0.5</w:t>
            </w:r>
          </w:p>
        </w:tc>
        <w:tc>
          <w:tcPr>
            <w:tcW w:w="1292" w:type="dxa"/>
            <w:shd w:val="clear" w:color="auto" w:fill="auto"/>
            <w:vAlign w:val="center"/>
          </w:tcPr>
          <w:p w14:paraId="45C9F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米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5C83A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200</w:t>
            </w:r>
          </w:p>
        </w:tc>
      </w:tr>
      <w:tr w14:paraId="36AA3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exact"/>
          <w:jc w:val="center"/>
        </w:trPr>
        <w:tc>
          <w:tcPr>
            <w:tcW w:w="878" w:type="dxa"/>
            <w:vAlign w:val="center"/>
          </w:tcPr>
          <w:p w14:paraId="6B1AB42A">
            <w:pPr>
              <w:pStyle w:val="6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32EFF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六类网线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68466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六类网线</w:t>
            </w:r>
          </w:p>
        </w:tc>
        <w:tc>
          <w:tcPr>
            <w:tcW w:w="1292" w:type="dxa"/>
            <w:shd w:val="clear" w:color="auto" w:fill="auto"/>
            <w:vAlign w:val="center"/>
          </w:tcPr>
          <w:p w14:paraId="25257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米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04A6A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400</w:t>
            </w:r>
          </w:p>
        </w:tc>
      </w:tr>
      <w:tr w14:paraId="4F12C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exact"/>
          <w:jc w:val="center"/>
        </w:trPr>
        <w:tc>
          <w:tcPr>
            <w:tcW w:w="878" w:type="dxa"/>
            <w:vAlign w:val="center"/>
          </w:tcPr>
          <w:p w14:paraId="59D849B1">
            <w:pPr>
              <w:pStyle w:val="6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0A3FF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信号线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642D3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护套电源线RVV2*0.5</w:t>
            </w:r>
          </w:p>
        </w:tc>
        <w:tc>
          <w:tcPr>
            <w:tcW w:w="1292" w:type="dxa"/>
            <w:shd w:val="clear" w:color="auto" w:fill="auto"/>
            <w:vAlign w:val="center"/>
          </w:tcPr>
          <w:p w14:paraId="00EFB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米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D69E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3600</w:t>
            </w:r>
          </w:p>
        </w:tc>
      </w:tr>
      <w:tr w14:paraId="7FD78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exact"/>
          <w:jc w:val="center"/>
        </w:trPr>
        <w:tc>
          <w:tcPr>
            <w:tcW w:w="878" w:type="dxa"/>
            <w:vAlign w:val="center"/>
          </w:tcPr>
          <w:p w14:paraId="59C0AB04">
            <w:pPr>
              <w:pStyle w:val="6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29293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辅材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4882C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线管及配件</w:t>
            </w:r>
          </w:p>
        </w:tc>
        <w:tc>
          <w:tcPr>
            <w:tcW w:w="1292" w:type="dxa"/>
            <w:shd w:val="clear" w:color="auto" w:fill="auto"/>
            <w:vAlign w:val="center"/>
          </w:tcPr>
          <w:p w14:paraId="3D5D20F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项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0481B19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</w:tr>
    </w:tbl>
    <w:p w14:paraId="1A827055">
      <w:pPr>
        <w:widowControl/>
        <w:jc w:val="left"/>
        <w:rPr>
          <w:rFonts w:ascii="宋体" w:cs="宋体"/>
          <w:color w:val="FF0000"/>
          <w:kern w:val="0"/>
          <w:szCs w:val="21"/>
        </w:rPr>
      </w:pPr>
    </w:p>
    <w:p w14:paraId="77516CA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/>
          <w:bCs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0"/>
          <w:sz w:val="24"/>
          <w:szCs w:val="24"/>
          <w:lang w:val="en-US" w:eastAsia="zh-CN"/>
        </w:rPr>
        <w:t>二、技术参数</w:t>
      </w:r>
    </w:p>
    <w:p w14:paraId="50B24C41">
      <w:pPr>
        <w:spacing w:line="460" w:lineRule="atLeast"/>
        <w:rPr>
          <w:rFonts w:hint="eastAsia" w:asciiTheme="minorEastAsia" w:hAnsiTheme="minorEastAsia" w:eastAsiaTheme="minorEastAsia" w:cstheme="minorEastAsia"/>
          <w:b/>
          <w:bCs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0"/>
          <w:sz w:val="24"/>
          <w:szCs w:val="24"/>
          <w:lang w:val="en-US" w:eastAsia="zh-CN"/>
        </w:rPr>
        <w:t>（一）门磁探测器</w:t>
      </w:r>
    </w:p>
    <w:p w14:paraId="77305222">
      <w:pPr>
        <w:spacing w:line="460" w:lineRule="atLeast"/>
        <w:rPr>
          <w:rFonts w:hint="eastAsia" w:ascii="宋体" w:hAnsi="宋体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4"/>
          <w:szCs w:val="24"/>
          <w:lang w:val="en-US" w:eastAsia="zh-CN"/>
        </w:rPr>
        <w:t>1、外壳材质：金属电镀，镀环保彩锌；</w:t>
      </w:r>
    </w:p>
    <w:p w14:paraId="2DBF4996">
      <w:pPr>
        <w:spacing w:line="460" w:lineRule="atLeast"/>
        <w:rPr>
          <w:rFonts w:hint="eastAsia" w:ascii="宋体" w:hAnsi="宋体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4"/>
          <w:szCs w:val="24"/>
          <w:lang w:val="en-US" w:eastAsia="zh-CN"/>
        </w:rPr>
        <w:t>2、耐压耐流：耐压100VDC、耐流500mA；</w:t>
      </w:r>
    </w:p>
    <w:p w14:paraId="4E931A5A">
      <w:pPr>
        <w:spacing w:line="460" w:lineRule="atLeast"/>
        <w:rPr>
          <w:rFonts w:hint="eastAsia" w:ascii="宋体" w:hAnsi="宋体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4"/>
          <w:szCs w:val="24"/>
          <w:lang w:val="en-US" w:eastAsia="zh-CN"/>
        </w:rPr>
        <w:t>3、报警输出：IO输出（常闭NC）；</w:t>
      </w:r>
    </w:p>
    <w:p w14:paraId="55690978">
      <w:pPr>
        <w:spacing w:line="460" w:lineRule="atLeast"/>
        <w:rPr>
          <w:rFonts w:hint="eastAsia" w:ascii="宋体" w:hAnsi="宋体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4"/>
          <w:szCs w:val="24"/>
          <w:lang w:val="en-US" w:eastAsia="zh-CN"/>
        </w:rPr>
        <w:t>4、使用环境：室内；</w:t>
      </w:r>
    </w:p>
    <w:p w14:paraId="41D775C1">
      <w:pPr>
        <w:spacing w:line="460" w:lineRule="atLeast"/>
        <w:rPr>
          <w:rFonts w:hint="eastAsia" w:ascii="宋体" w:hAnsi="宋体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4"/>
          <w:szCs w:val="24"/>
          <w:lang w:val="en-US" w:eastAsia="zh-CN"/>
        </w:rPr>
        <w:t>5、安装方式：螺丝固定；</w:t>
      </w:r>
    </w:p>
    <w:p w14:paraId="2943738E">
      <w:pPr>
        <w:spacing w:line="460" w:lineRule="atLeast"/>
        <w:rPr>
          <w:rFonts w:hint="eastAsia" w:ascii="宋体" w:hAnsi="宋体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4"/>
          <w:szCs w:val="24"/>
          <w:lang w:val="en-US" w:eastAsia="zh-CN"/>
        </w:rPr>
        <w:t>6、报警功能：成对门磁被门分开，实现开门报警（采用防铁门磁性干扰设计）；</w:t>
      </w:r>
    </w:p>
    <w:p w14:paraId="5FD72E34">
      <w:pPr>
        <w:spacing w:line="460" w:lineRule="atLeast"/>
        <w:rPr>
          <w:rFonts w:hint="eastAsia" w:ascii="宋体" w:hAnsi="宋体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4"/>
          <w:szCs w:val="24"/>
          <w:lang w:val="en-US" w:eastAsia="zh-CN"/>
        </w:rPr>
        <w:t>7、动作距离：开门距离35mm以上触发报警；</w:t>
      </w:r>
    </w:p>
    <w:p w14:paraId="28AA55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</w:p>
    <w:p w14:paraId="43C7A4DB">
      <w:pPr>
        <w:spacing w:line="460" w:lineRule="atLeast"/>
        <w:rPr>
          <w:rFonts w:hint="eastAsia" w:asciiTheme="minorEastAsia" w:hAnsiTheme="minorEastAsia" w:eastAsiaTheme="minorEastAsia" w:cstheme="minorEastAsia"/>
          <w:b/>
          <w:bCs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0"/>
          <w:sz w:val="24"/>
          <w:szCs w:val="24"/>
          <w:lang w:val="en-US" w:eastAsia="zh-CN"/>
        </w:rPr>
        <w:t>（二）8防区扩展模块</w:t>
      </w:r>
    </w:p>
    <w:p w14:paraId="2B35FD1D">
      <w:pPr>
        <w:spacing w:line="460" w:lineRule="atLeast"/>
        <w:rPr>
          <w:rFonts w:hint="eastAsia" w:ascii="宋体" w:hAnsi="宋体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4"/>
          <w:szCs w:val="24"/>
          <w:lang w:val="en-US" w:eastAsia="zh-CN"/>
        </w:rPr>
        <w:t>1、防区数量：8个；</w:t>
      </w:r>
    </w:p>
    <w:p w14:paraId="08499A64">
      <w:pPr>
        <w:spacing w:line="460" w:lineRule="atLeast"/>
        <w:rPr>
          <w:rFonts w:hint="eastAsia" w:ascii="宋体" w:hAnsi="宋体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4"/>
          <w:szCs w:val="24"/>
          <w:lang w:val="en-US" w:eastAsia="zh-CN"/>
        </w:rPr>
        <w:t>2、防区扩展：通过RVV线方式接入报警主机；</w:t>
      </w:r>
    </w:p>
    <w:p w14:paraId="71ADAC03">
      <w:pPr>
        <w:spacing w:line="460" w:lineRule="atLeast"/>
        <w:rPr>
          <w:rFonts w:hint="eastAsia" w:ascii="宋体" w:hAnsi="宋体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4"/>
          <w:szCs w:val="24"/>
          <w:lang w:val="en-US" w:eastAsia="zh-CN"/>
        </w:rPr>
        <w:t>3、总线无极性：总线接口不区分极性；</w:t>
      </w:r>
    </w:p>
    <w:p w14:paraId="3C562BC9">
      <w:pPr>
        <w:spacing w:line="460" w:lineRule="atLeast"/>
        <w:rPr>
          <w:rFonts w:hint="eastAsia" w:ascii="宋体" w:hAnsi="宋体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4"/>
          <w:szCs w:val="24"/>
          <w:lang w:val="en-US" w:eastAsia="zh-CN"/>
        </w:rPr>
        <w:t>4、地址设置：通过拨码方式设置模块地址，拨码地址不能重复；</w:t>
      </w:r>
    </w:p>
    <w:p w14:paraId="3B805E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</w:pPr>
    </w:p>
    <w:p w14:paraId="641688F0">
      <w:pPr>
        <w:spacing w:line="460" w:lineRule="atLeast"/>
        <w:rPr>
          <w:rFonts w:hint="eastAsia" w:asciiTheme="minorEastAsia" w:hAnsiTheme="minorEastAsia" w:eastAsiaTheme="minorEastAsia" w:cstheme="minorEastAsia"/>
          <w:b/>
          <w:bCs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0"/>
          <w:sz w:val="24"/>
          <w:szCs w:val="24"/>
          <w:lang w:val="en-US" w:eastAsia="zh-CN"/>
        </w:rPr>
        <w:t>（三）光纤收发器</w:t>
      </w:r>
    </w:p>
    <w:p w14:paraId="47DADBCC">
      <w:pPr>
        <w:spacing w:line="460" w:lineRule="atLeast"/>
        <w:rPr>
          <w:rFonts w:hint="eastAsia" w:ascii="宋体" w:hAnsi="宋体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4"/>
          <w:szCs w:val="24"/>
          <w:lang w:val="en-US" w:eastAsia="zh-CN"/>
        </w:rPr>
        <w:t xml:space="preserve"> 1、单模单纤10KM以上光纤收发器</w:t>
      </w:r>
    </w:p>
    <w:p w14:paraId="516A8838">
      <w:pPr>
        <w:numPr>
          <w:ilvl w:val="0"/>
          <w:numId w:val="0"/>
        </w:numPr>
        <w:rPr>
          <w:rFonts w:hint="eastAsia" w:ascii="宋体" w:hAnsi="宋体"/>
          <w:color w:val="auto"/>
          <w:szCs w:val="21"/>
          <w:lang w:val="en-US" w:eastAsia="zh-CN"/>
        </w:rPr>
      </w:pPr>
    </w:p>
    <w:p w14:paraId="177052AA">
      <w:pPr>
        <w:spacing w:line="460" w:lineRule="atLeast"/>
        <w:rPr>
          <w:rFonts w:hint="eastAsia" w:asciiTheme="minorEastAsia" w:hAnsiTheme="minorEastAsia" w:eastAsiaTheme="minorEastAsia" w:cstheme="minorEastAsia"/>
          <w:b/>
          <w:bCs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0"/>
          <w:sz w:val="24"/>
          <w:szCs w:val="24"/>
          <w:lang w:val="en-US" w:eastAsia="zh-CN"/>
        </w:rPr>
        <w:t>（四）联动报警摄像机</w:t>
      </w:r>
    </w:p>
    <w:p w14:paraId="5BAE9512">
      <w:pPr>
        <w:spacing w:line="460" w:lineRule="atLeast"/>
        <w:rPr>
          <w:rFonts w:hint="eastAsia" w:ascii="宋体" w:hAnsi="宋体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Times New Roman"/>
          <w:color w:val="auto"/>
          <w:sz w:val="24"/>
          <w:szCs w:val="24"/>
          <w:lang w:val="en-US" w:eastAsia="zh-CN"/>
        </w:rPr>
        <w:t>1、</w:t>
      </w:r>
      <w:r>
        <w:rPr>
          <w:rFonts w:hint="eastAsia" w:ascii="宋体" w:hAnsi="宋体" w:eastAsia="宋体" w:cs="Times New Roman"/>
          <w:color w:val="auto"/>
          <w:sz w:val="24"/>
          <w:szCs w:val="24"/>
          <w:lang w:val="en-US" w:eastAsia="zh-CN"/>
        </w:rPr>
        <w:t>不低于400万像素</w:t>
      </w:r>
      <w:r>
        <w:rPr>
          <w:rFonts w:hint="eastAsia" w:ascii="宋体" w:hAnsi="宋体" w:cs="Times New Roman"/>
          <w:color w:val="auto"/>
          <w:sz w:val="24"/>
          <w:szCs w:val="24"/>
          <w:lang w:val="en-US" w:eastAsia="zh-CN"/>
        </w:rPr>
        <w:t>。</w:t>
      </w:r>
    </w:p>
    <w:p w14:paraId="3B56EF87">
      <w:pPr>
        <w:spacing w:line="460" w:lineRule="atLeast"/>
        <w:rPr>
          <w:rFonts w:hint="eastAsia" w:ascii="宋体" w:hAnsi="宋体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Times New Roman"/>
          <w:color w:val="auto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Times New Roman"/>
          <w:color w:val="auto"/>
          <w:sz w:val="24"/>
          <w:szCs w:val="24"/>
          <w:lang w:val="en-US" w:eastAsia="zh-CN"/>
        </w:rPr>
        <w:t>支持基于大模型的智能压缩技术，通过ROI分割技术，分离前景目标与背景区域，前景采用常规编码保障细节完整，背景实施高效压缩降低存储占用，兼顾画质与效率在2560x1440@25fps下，码率设置为2Mbps，清晰度不小于1400TVL。</w:t>
      </w:r>
    </w:p>
    <w:p w14:paraId="33F13175">
      <w:pPr>
        <w:spacing w:line="460" w:lineRule="atLeast"/>
        <w:rPr>
          <w:rFonts w:hint="eastAsia" w:ascii="宋体" w:hAnsi="宋体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Times New Roman"/>
          <w:color w:val="auto"/>
          <w:sz w:val="24"/>
          <w:szCs w:val="24"/>
          <w:lang w:val="en-US" w:eastAsia="zh-CN"/>
        </w:rPr>
        <w:t>3、</w:t>
      </w:r>
      <w:r>
        <w:rPr>
          <w:rFonts w:hint="eastAsia" w:ascii="宋体" w:hAnsi="宋体" w:eastAsia="宋体" w:cs="Times New Roman"/>
          <w:color w:val="auto"/>
          <w:sz w:val="24"/>
          <w:szCs w:val="24"/>
          <w:lang w:val="en-US" w:eastAsia="zh-CN"/>
        </w:rPr>
        <w:t>内置1颗CPU、GPU、NPU于一体的芯片。（提供公安部检测机构出具的检测报告复印件证明，注明招标项目名称的水印，并加盖厂商投标专用章或公章）</w:t>
      </w:r>
    </w:p>
    <w:p w14:paraId="723AC70E">
      <w:pPr>
        <w:spacing w:line="460" w:lineRule="atLeast"/>
        <w:rPr>
          <w:rFonts w:hint="eastAsia" w:ascii="宋体" w:hAnsi="宋体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Times New Roman"/>
          <w:color w:val="auto"/>
          <w:sz w:val="24"/>
          <w:szCs w:val="24"/>
          <w:lang w:val="en-US" w:eastAsia="zh-CN"/>
        </w:rPr>
        <w:t>4、</w:t>
      </w:r>
      <w:r>
        <w:rPr>
          <w:rFonts w:hint="eastAsia" w:ascii="宋体" w:hAnsi="宋体" w:eastAsia="宋体" w:cs="Times New Roman"/>
          <w:color w:val="auto"/>
          <w:sz w:val="24"/>
          <w:szCs w:val="24"/>
          <w:lang w:val="en-US" w:eastAsia="zh-CN"/>
        </w:rPr>
        <w:t>补光灯灯杯采用双层透镜结构，外表平面为柔光层，采用复眼式微透镜阵列，具有六边形阵列纹路</w:t>
      </w:r>
      <w:r>
        <w:rPr>
          <w:rFonts w:hint="eastAsia" w:ascii="宋体" w:hAnsi="宋体" w:cs="Times New Roman"/>
          <w:color w:val="auto"/>
          <w:sz w:val="24"/>
          <w:szCs w:val="24"/>
          <w:lang w:val="en-US" w:eastAsia="zh-CN"/>
        </w:rPr>
        <w:t>；</w:t>
      </w:r>
      <w:r>
        <w:rPr>
          <w:rFonts w:hint="eastAsia" w:ascii="宋体" w:hAnsi="宋体" w:eastAsia="宋体" w:cs="Times New Roman"/>
          <w:color w:val="auto"/>
          <w:sz w:val="24"/>
          <w:szCs w:val="24"/>
          <w:lang w:val="en-US" w:eastAsia="zh-CN"/>
        </w:rPr>
        <w:t>下层束光层为鳞甲TIR透镜，内壁具有鳞甲阵列纹路。（提供公安部检测机构出具的检测报告复印件证明，注明招标项目名称的水印，并加盖厂商投标专用章或公章）</w:t>
      </w:r>
    </w:p>
    <w:p w14:paraId="643C317F">
      <w:pPr>
        <w:spacing w:line="460" w:lineRule="atLeast"/>
        <w:rPr>
          <w:rFonts w:hint="eastAsia" w:ascii="宋体" w:hAnsi="宋体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Times New Roman"/>
          <w:color w:val="auto"/>
          <w:sz w:val="24"/>
          <w:szCs w:val="24"/>
          <w:lang w:val="en-US" w:eastAsia="zh-CN"/>
        </w:rPr>
        <w:t>5、</w:t>
      </w:r>
      <w:r>
        <w:rPr>
          <w:rFonts w:hint="eastAsia" w:ascii="宋体" w:hAnsi="宋体" w:eastAsia="宋体" w:cs="Times New Roman"/>
          <w:color w:val="auto"/>
          <w:sz w:val="24"/>
          <w:szCs w:val="24"/>
          <w:lang w:val="en-US" w:eastAsia="zh-CN"/>
        </w:rPr>
        <w:t>补光灯开启后，灯光应为椭圆形形状，且补光灯均匀无波纹状、圆环状、麻点状、条纹状和不规则亮斑。（提供公安部检测机构出具的检测报告复印件证明，注明招标项目名称的水印，并加盖厂商投标专用章或公章）</w:t>
      </w:r>
    </w:p>
    <w:p w14:paraId="05EEA7B1">
      <w:pPr>
        <w:spacing w:line="460" w:lineRule="atLeast"/>
        <w:rPr>
          <w:rFonts w:hint="eastAsia" w:ascii="宋体" w:hAnsi="宋体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Times New Roman"/>
          <w:color w:val="auto"/>
          <w:sz w:val="24"/>
          <w:szCs w:val="24"/>
          <w:lang w:val="en-US" w:eastAsia="zh-CN"/>
        </w:rPr>
        <w:t>6、</w:t>
      </w:r>
      <w:r>
        <w:rPr>
          <w:rFonts w:hint="eastAsia" w:ascii="宋体" w:hAnsi="宋体" w:eastAsia="宋体" w:cs="Times New Roman"/>
          <w:color w:val="auto"/>
          <w:sz w:val="24"/>
          <w:szCs w:val="24"/>
          <w:lang w:val="en-US" w:eastAsia="zh-CN"/>
        </w:rPr>
        <w:t>在低照环境下，开启补光灯，支持识别距离50m处人体轮廓。</w:t>
      </w:r>
    </w:p>
    <w:p w14:paraId="0231BB17">
      <w:pPr>
        <w:spacing w:line="460" w:lineRule="atLeast"/>
        <w:rPr>
          <w:rFonts w:hint="eastAsia" w:ascii="宋体" w:hAnsi="宋体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Times New Roman"/>
          <w:color w:val="auto"/>
          <w:sz w:val="24"/>
          <w:szCs w:val="24"/>
          <w:lang w:val="en-US" w:eastAsia="zh-CN"/>
        </w:rPr>
        <w:t>7、</w:t>
      </w:r>
      <w:r>
        <w:rPr>
          <w:rFonts w:hint="eastAsia" w:ascii="宋体" w:hAnsi="宋体" w:eastAsia="宋体" w:cs="Times New Roman"/>
          <w:color w:val="auto"/>
          <w:sz w:val="24"/>
          <w:szCs w:val="24"/>
          <w:lang w:val="en-US" w:eastAsia="zh-CN"/>
        </w:rPr>
        <w:t>具有日夜场景自适应功能，在白天和夜晚环境下，样机均可输出彩色图像，在夜晚自动开启补光灯条件下，夜晚图像清晰度应不低于白天图像清晰度的95%。（提供公安部检测机构出具的检测报告复印件证明，注明招标项目名称的水印，并加盖厂商投标专用章或公章）</w:t>
      </w:r>
    </w:p>
    <w:p w14:paraId="7E5CB7FB">
      <w:pPr>
        <w:spacing w:line="460" w:lineRule="atLeast"/>
        <w:rPr>
          <w:rFonts w:hint="eastAsia" w:ascii="宋体" w:hAnsi="宋体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Times New Roman"/>
          <w:color w:val="auto"/>
          <w:sz w:val="24"/>
          <w:szCs w:val="24"/>
          <w:lang w:val="en-US" w:eastAsia="zh-CN"/>
        </w:rPr>
        <w:t>8、</w:t>
      </w:r>
      <w:r>
        <w:rPr>
          <w:rFonts w:hint="eastAsia" w:ascii="宋体" w:hAnsi="宋体" w:eastAsia="宋体" w:cs="Times New Roman"/>
          <w:color w:val="auto"/>
          <w:sz w:val="24"/>
          <w:szCs w:val="24"/>
          <w:lang w:val="en-US" w:eastAsia="zh-CN"/>
        </w:rPr>
        <w:t>具有AI-ISP图像质量提升功能，在低照度环境下，可自动调节预览场景视频画面中人脸、人体、车辆等目标及预览场景视频画面的区域曝光、亮度、色彩饱和度、对比度、锐度等。（提供公安部检测机构出具的检测报告复印件证明，注明招标项目名称的水印，并加盖厂商投标专用章或公章）</w:t>
      </w:r>
    </w:p>
    <w:p w14:paraId="0EB42B1A">
      <w:pPr>
        <w:spacing w:line="460" w:lineRule="atLeast"/>
        <w:rPr>
          <w:rFonts w:hint="eastAsia" w:ascii="宋体" w:hAnsi="宋体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Times New Roman"/>
          <w:color w:val="auto"/>
          <w:sz w:val="24"/>
          <w:szCs w:val="24"/>
          <w:lang w:val="en-US" w:eastAsia="zh-CN"/>
        </w:rPr>
        <w:t>9、</w:t>
      </w:r>
      <w:r>
        <w:rPr>
          <w:rFonts w:hint="eastAsia" w:ascii="宋体" w:hAnsi="宋体" w:eastAsia="宋体" w:cs="Times New Roman"/>
          <w:color w:val="auto"/>
          <w:sz w:val="24"/>
          <w:szCs w:val="24"/>
          <w:lang w:val="en-US" w:eastAsia="zh-CN"/>
        </w:rPr>
        <w:t>可通过IE浏览器设置码流套餐为画质优先、均衡模式、存储优先及自定义4种类型。</w:t>
      </w:r>
    </w:p>
    <w:p w14:paraId="7E2084C3">
      <w:pPr>
        <w:spacing w:line="460" w:lineRule="atLeast"/>
        <w:rPr>
          <w:rFonts w:hint="eastAsia" w:ascii="宋体" w:hAnsi="宋体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Times New Roman"/>
          <w:color w:val="auto"/>
          <w:sz w:val="24"/>
          <w:szCs w:val="24"/>
          <w:lang w:val="en-US" w:eastAsia="zh-CN"/>
        </w:rPr>
        <w:t>10、</w:t>
      </w:r>
      <w:r>
        <w:rPr>
          <w:rFonts w:hint="eastAsia" w:ascii="宋体" w:hAnsi="宋体" w:eastAsia="宋体" w:cs="Times New Roman"/>
          <w:color w:val="auto"/>
          <w:sz w:val="24"/>
          <w:szCs w:val="24"/>
          <w:lang w:val="en-US" w:eastAsia="zh-CN"/>
        </w:rPr>
        <w:t>支持DC12V或POE供电。</w:t>
      </w:r>
    </w:p>
    <w:p w14:paraId="501F5532">
      <w:pPr>
        <w:rPr>
          <w:rFonts w:hint="eastAsia"/>
          <w:lang w:val="en-US" w:eastAsia="zh-CN"/>
        </w:rPr>
      </w:pPr>
    </w:p>
    <w:p w14:paraId="4D6647C3">
      <w:pPr>
        <w:pStyle w:val="2"/>
        <w:rPr>
          <w:rFonts w:hint="eastAsia" w:eastAsiaTheme="minorEastAsia"/>
          <w:lang w:eastAsia="zh-CN"/>
        </w:rPr>
      </w:pPr>
    </w:p>
    <w:p w14:paraId="4A6DC1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</w:p>
    <w:p w14:paraId="572C21B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</w:p>
    <w:p w14:paraId="6F6D93E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Condensed">
    <w:altName w:val="Tahoma"/>
    <w:panose1 w:val="00000000000000000000"/>
    <w:charset w:val="00"/>
    <w:family w:val="swiss"/>
    <w:pitch w:val="default"/>
    <w:sig w:usb0="00000000" w:usb1="00000000" w:usb2="00000000" w:usb3="00000000" w:csb0="000000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632FE9"/>
    <w:rsid w:val="20632FE9"/>
    <w:rsid w:val="349E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</w:style>
  <w:style w:type="paragraph" w:customStyle="1" w:styleId="5">
    <w:name w:val="列标题"/>
    <w:basedOn w:val="1"/>
    <w:qFormat/>
    <w:uiPriority w:val="0"/>
    <w:pPr>
      <w:spacing w:line="240" w:lineRule="auto"/>
    </w:pPr>
    <w:rPr>
      <w:rFonts w:ascii="Segoe Condensed" w:hAnsi="Segoe Condensed"/>
      <w:caps/>
      <w:spacing w:val="20"/>
      <w:sz w:val="14"/>
    </w:rPr>
  </w:style>
  <w:style w:type="paragraph" w:customStyle="1" w:styleId="6">
    <w:name w:val="复制"/>
    <w:basedOn w:val="1"/>
    <w:qFormat/>
    <w:uiPriority w:val="0"/>
    <w:pPr>
      <w:spacing w:line="240" w:lineRule="auto"/>
    </w:pPr>
  </w:style>
  <w:style w:type="paragraph" w:customStyle="1" w:styleId="7">
    <w:name w:val="地址"/>
    <w:basedOn w:val="1"/>
    <w:qFormat/>
    <w:uiPriority w:val="0"/>
    <w:pPr>
      <w:spacing w:line="240" w:lineRule="auto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328</Words>
  <Characters>366</Characters>
  <Lines>0</Lines>
  <Paragraphs>0</Paragraphs>
  <TotalTime>0</TotalTime>
  <ScaleCrop>false</ScaleCrop>
  <LinksUpToDate>false</LinksUpToDate>
  <CharactersWithSpaces>383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2026-05-15T08:09:00Z</dcterms:created>
  <dc:creator>雅雯</dc:creator>
  <cp:lastModifiedBy>雅雯</cp:lastModifiedBy>
  <dcterms:modified xsi:type="dcterms:W3CDTF">2026-05-25T08:46:51Z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A48B73F0CF954092974D99E32709A8F5_11</vt:lpwstr>
  </property>
  <property fmtid="{D5CDD505-2E9C-101B-9397-08002B2CF9AE}" pid="4" name="KSOTemplateDocerSaveRecord">
    <vt:lpwstr>eyJoZGlkIjoiMGZiMWI5OGE1MmY5Nzg5NTNkMDQwZTAyYTZjNDQ0ZGEiLCJ1c2VySWQiOiI0MDkxNTA1ODcifQ==</vt:lpwstr>
  </property>
</Properties>
</file>